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C80D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Schedule </w:t>
      </w:r>
      <w:r>
        <w:rPr>
          <w:rFonts w:hint="default" w:ascii="Garamond" w:hAnsi="Garamond"/>
          <w:b/>
          <w:bCs/>
          <w:sz w:val="28"/>
          <w:szCs w:val="28"/>
          <w:lang w:val="en-GB"/>
        </w:rPr>
        <w:t>3</w:t>
      </w:r>
      <w:r>
        <w:rPr>
          <w:rFonts w:ascii="Garamond" w:hAnsi="Garamond"/>
          <w:b/>
          <w:bCs/>
          <w:sz w:val="28"/>
          <w:szCs w:val="28"/>
        </w:rPr>
        <w:t>: Schedule of Fees and Charges</w:t>
      </w:r>
    </w:p>
    <w:p w14:paraId="4DA2620E">
      <w:pPr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(Pursuant to Article 7 of the </w:t>
      </w:r>
      <w:r>
        <w:rPr>
          <w:rFonts w:hint="default" w:ascii="Garamond" w:hAnsi="Garamond"/>
          <w:i/>
          <w:iCs/>
          <w:lang w:val="en-GB"/>
        </w:rPr>
        <w:t>Ondo</w:t>
      </w:r>
      <w:r>
        <w:rPr>
          <w:rFonts w:ascii="Garamond" w:hAnsi="Garamond"/>
          <w:i/>
          <w:iCs/>
        </w:rPr>
        <w:t xml:space="preserve"> State FRILIA Investment Approval Regulations, 2025)</w:t>
      </w:r>
    </w:p>
    <w:p w14:paraId="699889E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following fees and charges shall apply to applications for large-scale agricultural investments in </w:t>
      </w:r>
      <w:r>
        <w:rPr>
          <w:rFonts w:hint="default" w:ascii="Garamond" w:hAnsi="Garamond"/>
          <w:lang w:val="en-GB"/>
        </w:rPr>
        <w:t>Ondo</w:t>
      </w:r>
      <w:r>
        <w:rPr>
          <w:rFonts w:ascii="Garamond" w:hAnsi="Garamond"/>
        </w:rPr>
        <w:t xml:space="preserve"> State:</w:t>
      </w:r>
    </w:p>
    <w:tbl>
      <w:tblPr>
        <w:tblStyle w:val="33"/>
        <w:tblW w:w="0" w:type="auto"/>
        <w:tblInd w:w="0" w:type="dxa"/>
        <w:tblBorders>
          <w:top w:val="single" w:color="60CBF3" w:themeColor="accent4" w:themeTint="99" w:sz="4" w:space="0"/>
          <w:left w:val="single" w:color="60CBF3" w:themeColor="accent4" w:themeTint="99" w:sz="4" w:space="0"/>
          <w:bottom w:val="single" w:color="60CBF3" w:themeColor="accent4" w:themeTint="99" w:sz="4" w:space="0"/>
          <w:right w:val="single" w:color="60CBF3" w:themeColor="accent4" w:themeTint="99" w:sz="4" w:space="0"/>
          <w:insideH w:val="single" w:color="60CBF3" w:themeColor="accent4" w:themeTint="99" w:sz="4" w:space="0"/>
          <w:insideV w:val="single" w:color="60CBF3" w:themeColor="accent4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6"/>
        <w:gridCol w:w="6090"/>
      </w:tblGrid>
      <w:tr w14:paraId="77464153">
        <w:tblPrEx>
          <w:tblBorders>
            <w:top w:val="single" w:color="60CBF3" w:themeColor="accent4" w:themeTint="99" w:sz="4" w:space="0"/>
            <w:left w:val="single" w:color="60CBF3" w:themeColor="accent4" w:themeTint="99" w:sz="4" w:space="0"/>
            <w:bottom w:val="single" w:color="60CBF3" w:themeColor="accent4" w:themeTint="99" w:sz="4" w:space="0"/>
            <w:right w:val="single" w:color="60CBF3" w:themeColor="accent4" w:themeTint="99" w:sz="4" w:space="0"/>
            <w:insideH w:val="single" w:color="60CBF3" w:themeColor="accent4" w:themeTint="99" w:sz="4" w:space="0"/>
            <w:insideV w:val="single" w:color="60CBF3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F9ED5" w:themeColor="accent4" w:sz="4" w:space="0"/>
              <w:left w:val="single" w:color="0F9ED5" w:themeColor="accent4" w:sz="4" w:space="0"/>
              <w:bottom w:val="single" w:color="0F9ED5" w:themeColor="accent4" w:sz="4" w:space="0"/>
              <w:right w:val="nil"/>
              <w:insideH w:val="single" w:sz="4" w:space="0"/>
              <w:insideV w:val="nil"/>
            </w:tcBorders>
            <w:shd w:val="clear" w:color="auto" w:fill="0F9ED5" w:themeFill="accent4"/>
          </w:tcPr>
          <w:p w14:paraId="767ED24E">
            <w:pPr>
              <w:spacing w:after="160" w:line="278" w:lineRule="auto"/>
              <w:jc w:val="both"/>
              <w:rPr>
                <w:rFonts w:ascii="Garamond" w:hAnsi="Garamond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Fee Type</w:t>
            </w:r>
          </w:p>
        </w:tc>
        <w:tc>
          <w:tcPr>
            <w:tcW w:w="0" w:type="auto"/>
            <w:tcBorders>
              <w:top w:val="single" w:color="0F9ED5" w:themeColor="accent4" w:sz="4" w:space="0"/>
              <w:bottom w:val="single" w:color="0F9ED5" w:themeColor="accent4" w:sz="4" w:space="0"/>
              <w:right w:val="single" w:color="0F9ED5" w:themeColor="accent4" w:sz="4" w:space="0"/>
              <w:insideH w:val="single" w:sz="4" w:space="0"/>
              <w:insideV w:val="nil"/>
            </w:tcBorders>
            <w:shd w:val="clear" w:color="auto" w:fill="0F9ED5" w:themeFill="accent4"/>
          </w:tcPr>
          <w:p w14:paraId="7A570420">
            <w:pPr>
              <w:spacing w:after="160" w:line="278" w:lineRule="auto"/>
              <w:jc w:val="both"/>
              <w:rPr>
                <w:rFonts w:ascii="Garamond" w:hAnsi="Garamond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</w:tr>
      <w:tr w14:paraId="4865A88F">
        <w:tblPrEx>
          <w:tblBorders>
            <w:top w:val="single" w:color="60CBF3" w:themeColor="accent4" w:themeTint="99" w:sz="4" w:space="0"/>
            <w:left w:val="single" w:color="60CBF3" w:themeColor="accent4" w:themeTint="99" w:sz="4" w:space="0"/>
            <w:bottom w:val="single" w:color="60CBF3" w:themeColor="accent4" w:themeTint="99" w:sz="4" w:space="0"/>
            <w:right w:val="single" w:color="60CBF3" w:themeColor="accent4" w:themeTint="99" w:sz="4" w:space="0"/>
            <w:insideH w:val="single" w:color="60CBF3" w:themeColor="accent4" w:themeTint="99" w:sz="4" w:space="0"/>
            <w:insideV w:val="single" w:color="60CBF3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CAEDFB" w:themeFill="accent4" w:themeFillTint="33"/>
          </w:tcPr>
          <w:p w14:paraId="5D44F72D">
            <w:pPr>
              <w:spacing w:after="160" w:line="278" w:lineRule="auto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Application Processing Fee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9CB5416">
            <w:pPr>
              <w:spacing w:after="160" w:line="278" w:lineRule="auto"/>
              <w:jc w:val="both"/>
              <w:rPr>
                <w:rFonts w:ascii="Garamond" w:hAnsi="Garamond"/>
              </w:rPr>
            </w:pPr>
            <w:r>
              <w:rPr>
                <w:rFonts w:ascii="Times New Roman" w:hAnsi="Times New Roman" w:cs="Times New Roman"/>
              </w:rPr>
              <w:t>₦</w:t>
            </w:r>
            <w:r>
              <w:rPr>
                <w:rFonts w:hint="default" w:ascii="Times New Roman" w:hAnsi="Times New Roman" w:cs="Times New Roman"/>
                <w:lang w:val="en-GB"/>
              </w:rPr>
              <w:t>5</w:t>
            </w:r>
            <w:r>
              <w:rPr>
                <w:rFonts w:ascii="Garamond" w:hAnsi="Garamond"/>
              </w:rPr>
              <w:t>0,000 (non-refundable)</w:t>
            </w:r>
          </w:p>
        </w:tc>
      </w:tr>
      <w:tr w14:paraId="6B55A150">
        <w:tblPrEx>
          <w:tblBorders>
            <w:top w:val="single" w:color="60CBF3" w:themeColor="accent4" w:themeTint="99" w:sz="4" w:space="0"/>
            <w:left w:val="single" w:color="60CBF3" w:themeColor="accent4" w:themeTint="99" w:sz="4" w:space="0"/>
            <w:bottom w:val="single" w:color="60CBF3" w:themeColor="accent4" w:themeTint="99" w:sz="4" w:space="0"/>
            <w:right w:val="single" w:color="60CBF3" w:themeColor="accent4" w:themeTint="99" w:sz="4" w:space="0"/>
            <w:insideH w:val="single" w:color="60CBF3" w:themeColor="accent4" w:themeTint="99" w:sz="4" w:space="0"/>
            <w:insideV w:val="single" w:color="60CBF3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00443F">
            <w:pPr>
              <w:spacing w:after="160" w:line="278" w:lineRule="auto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Due Diligence and Screening Fee</w:t>
            </w:r>
          </w:p>
        </w:tc>
        <w:tc>
          <w:tcPr>
            <w:tcW w:w="0" w:type="auto"/>
          </w:tcPr>
          <w:p w14:paraId="48471DF8">
            <w:pPr>
              <w:spacing w:after="160" w:line="278" w:lineRule="auto"/>
              <w:jc w:val="both"/>
              <w:rPr>
                <w:rFonts w:ascii="Garamond" w:hAnsi="Garamond"/>
              </w:rPr>
            </w:pPr>
            <w:r>
              <w:rPr>
                <w:rFonts w:ascii="Times New Roman" w:hAnsi="Times New Roman" w:cs="Times New Roman"/>
              </w:rPr>
              <w:t>₦1</w:t>
            </w:r>
            <w:r>
              <w:rPr>
                <w:rFonts w:hint="default" w:ascii="Times New Roman" w:hAnsi="Times New Roman" w:cs="Times New Roman"/>
                <w:lang w:val="en-GB"/>
              </w:rPr>
              <w:t>00,000</w:t>
            </w:r>
            <w:r>
              <w:rPr>
                <w:rFonts w:ascii="Garamond" w:hAnsi="Garamond"/>
              </w:rPr>
              <w:t xml:space="preserve"> (covers background checks, technical review, and community verification)</w:t>
            </w:r>
          </w:p>
        </w:tc>
      </w:tr>
      <w:tr w14:paraId="230BAB2A">
        <w:tblPrEx>
          <w:tblBorders>
            <w:top w:val="single" w:color="60CBF3" w:themeColor="accent4" w:themeTint="99" w:sz="4" w:space="0"/>
            <w:left w:val="single" w:color="60CBF3" w:themeColor="accent4" w:themeTint="99" w:sz="4" w:space="0"/>
            <w:bottom w:val="single" w:color="60CBF3" w:themeColor="accent4" w:themeTint="99" w:sz="4" w:space="0"/>
            <w:right w:val="single" w:color="60CBF3" w:themeColor="accent4" w:themeTint="99" w:sz="4" w:space="0"/>
            <w:insideH w:val="single" w:color="60CBF3" w:themeColor="accent4" w:themeTint="99" w:sz="4" w:space="0"/>
            <w:insideV w:val="single" w:color="60CBF3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CAEDFB" w:themeFill="accent4" w:themeFillTint="33"/>
          </w:tcPr>
          <w:p w14:paraId="4F1A5B52">
            <w:pPr>
              <w:spacing w:after="160" w:line="278" w:lineRule="auto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Site Inspection Fee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412E29F0">
            <w:pPr>
              <w:spacing w:after="160" w:line="278" w:lineRule="auto"/>
              <w:jc w:val="both"/>
              <w:rPr>
                <w:rFonts w:hint="default" w:ascii="Garamond" w:hAnsi="Garamond"/>
                <w:lang w:val="en-GB"/>
              </w:rPr>
            </w:pPr>
            <w:r>
              <w:rPr>
                <w:rFonts w:ascii="Times New Roman" w:hAnsi="Times New Roman" w:cs="Times New Roman"/>
              </w:rPr>
              <w:t>₦</w:t>
            </w:r>
            <w:r>
              <w:rPr>
                <w:rFonts w:hint="default" w:ascii="Times New Roman" w:hAnsi="Times New Roman" w:cs="Times New Roman"/>
                <w:lang w:val="en-GB"/>
              </w:rPr>
              <w:t>0.00</w:t>
            </w:r>
          </w:p>
        </w:tc>
      </w:tr>
      <w:tr w14:paraId="2928D456">
        <w:tblPrEx>
          <w:tblBorders>
            <w:top w:val="single" w:color="60CBF3" w:themeColor="accent4" w:themeTint="99" w:sz="4" w:space="0"/>
            <w:left w:val="single" w:color="60CBF3" w:themeColor="accent4" w:themeTint="99" w:sz="4" w:space="0"/>
            <w:bottom w:val="single" w:color="60CBF3" w:themeColor="accent4" w:themeTint="99" w:sz="4" w:space="0"/>
            <w:right w:val="single" w:color="60CBF3" w:themeColor="accent4" w:themeTint="99" w:sz="4" w:space="0"/>
            <w:insideH w:val="single" w:color="60CBF3" w:themeColor="accent4" w:themeTint="99" w:sz="4" w:space="0"/>
            <w:insideV w:val="single" w:color="60CBF3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1B22EF8">
            <w:pPr>
              <w:spacing w:after="160" w:line="278" w:lineRule="auto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ESIA Review Fee</w:t>
            </w:r>
          </w:p>
        </w:tc>
        <w:tc>
          <w:tcPr>
            <w:tcW w:w="0" w:type="auto"/>
          </w:tcPr>
          <w:p w14:paraId="7BC0A938">
            <w:pPr>
              <w:spacing w:after="160" w:line="278" w:lineRule="auto"/>
              <w:jc w:val="both"/>
              <w:rPr>
                <w:rFonts w:ascii="Garamond" w:hAnsi="Garamond"/>
              </w:rPr>
            </w:pPr>
            <w:r>
              <w:rPr>
                <w:rFonts w:ascii="Times New Roman" w:hAnsi="Times New Roman" w:cs="Times New Roman"/>
              </w:rPr>
              <w:t>₦1,00</w:t>
            </w:r>
            <w:r>
              <w:rPr>
                <w:rFonts w:ascii="Garamond" w:hAnsi="Garamond"/>
              </w:rPr>
              <w:t>0,000 (payable prior to submission of ESIA for review)</w:t>
            </w:r>
          </w:p>
        </w:tc>
      </w:tr>
      <w:tr w14:paraId="7906126C">
        <w:tblPrEx>
          <w:tblBorders>
            <w:top w:val="single" w:color="60CBF3" w:themeColor="accent4" w:themeTint="99" w:sz="4" w:space="0"/>
            <w:left w:val="single" w:color="60CBF3" w:themeColor="accent4" w:themeTint="99" w:sz="4" w:space="0"/>
            <w:bottom w:val="single" w:color="60CBF3" w:themeColor="accent4" w:themeTint="99" w:sz="4" w:space="0"/>
            <w:right w:val="single" w:color="60CBF3" w:themeColor="accent4" w:themeTint="99" w:sz="4" w:space="0"/>
            <w:insideH w:val="single" w:color="60CBF3" w:themeColor="accent4" w:themeTint="99" w:sz="4" w:space="0"/>
            <w:insideV w:val="single" w:color="60CBF3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CAEDFB" w:themeFill="accent4" w:themeFillTint="33"/>
          </w:tcPr>
          <w:p w14:paraId="1E66BEFC">
            <w:pPr>
              <w:spacing w:after="160" w:line="278" w:lineRule="auto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MoU Facilitation Fee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66B997EB">
            <w:pPr>
              <w:spacing w:after="160" w:line="278" w:lineRule="auto"/>
              <w:jc w:val="both"/>
              <w:rPr>
                <w:rFonts w:hint="default" w:ascii="Garamond" w:hAnsi="Garamond"/>
                <w:lang w:val="en-GB"/>
              </w:rPr>
            </w:pPr>
            <w:r>
              <w:rPr>
                <w:rFonts w:ascii="Times New Roman" w:hAnsi="Times New Roman" w:cs="Times New Roman"/>
              </w:rPr>
              <w:t>₦</w:t>
            </w:r>
            <w:r>
              <w:rPr>
                <w:rFonts w:hint="default" w:ascii="Times New Roman" w:hAnsi="Times New Roman" w:cs="Times New Roman"/>
                <w:lang w:val="en-GB"/>
              </w:rPr>
              <w:t>0.00</w:t>
            </w:r>
          </w:p>
        </w:tc>
      </w:tr>
      <w:tr w14:paraId="1E5ED025">
        <w:tblPrEx>
          <w:tblBorders>
            <w:top w:val="single" w:color="60CBF3" w:themeColor="accent4" w:themeTint="99" w:sz="4" w:space="0"/>
            <w:left w:val="single" w:color="60CBF3" w:themeColor="accent4" w:themeTint="99" w:sz="4" w:space="0"/>
            <w:bottom w:val="single" w:color="60CBF3" w:themeColor="accent4" w:themeTint="99" w:sz="4" w:space="0"/>
            <w:right w:val="single" w:color="60CBF3" w:themeColor="accent4" w:themeTint="99" w:sz="4" w:space="0"/>
            <w:insideH w:val="single" w:color="60CBF3" w:themeColor="accent4" w:themeTint="99" w:sz="4" w:space="0"/>
            <w:insideV w:val="single" w:color="60CBF3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8FDA354">
            <w:pPr>
              <w:spacing w:after="160" w:line="278" w:lineRule="auto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Final Agreement Registration Fee</w:t>
            </w:r>
          </w:p>
        </w:tc>
        <w:tc>
          <w:tcPr>
            <w:tcW w:w="0" w:type="auto"/>
          </w:tcPr>
          <w:p w14:paraId="356FD583">
            <w:pPr>
              <w:spacing w:after="160" w:line="278" w:lineRule="auto"/>
              <w:jc w:val="both"/>
              <w:rPr>
                <w:rFonts w:hint="default" w:ascii="Garamond" w:hAnsi="Garamond"/>
                <w:lang w:val="en-GB"/>
              </w:rPr>
            </w:pPr>
            <w:r>
              <w:rPr>
                <w:rFonts w:ascii="Times New Roman" w:hAnsi="Times New Roman" w:cs="Times New Roman"/>
              </w:rPr>
              <w:t>₦</w:t>
            </w:r>
            <w:r>
              <w:rPr>
                <w:rFonts w:hint="default" w:ascii="Times New Roman" w:hAnsi="Times New Roman" w:cs="Times New Roman"/>
                <w:lang w:val="en-GB"/>
              </w:rPr>
              <w:t>0.00</w:t>
            </w:r>
          </w:p>
        </w:tc>
      </w:tr>
      <w:tr w14:paraId="4404187F">
        <w:tblPrEx>
          <w:tblBorders>
            <w:top w:val="single" w:color="60CBF3" w:themeColor="accent4" w:themeTint="99" w:sz="4" w:space="0"/>
            <w:left w:val="single" w:color="60CBF3" w:themeColor="accent4" w:themeTint="99" w:sz="4" w:space="0"/>
            <w:bottom w:val="single" w:color="60CBF3" w:themeColor="accent4" w:themeTint="99" w:sz="4" w:space="0"/>
            <w:right w:val="single" w:color="60CBF3" w:themeColor="accent4" w:themeTint="99" w:sz="4" w:space="0"/>
            <w:insideH w:val="single" w:color="60CBF3" w:themeColor="accent4" w:themeTint="99" w:sz="4" w:space="0"/>
            <w:insideV w:val="single" w:color="60CBF3" w:themeColor="accent4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CAEDFB" w:themeFill="accent4" w:themeFillTint="33"/>
          </w:tcPr>
          <w:p w14:paraId="3663CED8">
            <w:pPr>
              <w:spacing w:after="160" w:line="278" w:lineRule="auto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Annual Monitoring and Compliance Fee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2E02FF2C">
            <w:pPr>
              <w:spacing w:after="160" w:line="278" w:lineRule="auto"/>
              <w:jc w:val="both"/>
              <w:rPr>
                <w:rFonts w:ascii="Garamond" w:hAnsi="Garamond"/>
              </w:rPr>
            </w:pPr>
            <w:r>
              <w:rPr>
                <w:rFonts w:ascii="Times New Roman" w:hAnsi="Times New Roman" w:cs="Times New Roman"/>
              </w:rPr>
              <w:t>₦</w:t>
            </w:r>
            <w:r>
              <w:rPr>
                <w:rFonts w:ascii="Garamond" w:hAnsi="Garamond"/>
              </w:rPr>
              <w:t>1</w:t>
            </w:r>
            <w:r>
              <w:rPr>
                <w:rFonts w:hint="default" w:ascii="Garamond" w:hAnsi="Garamond"/>
                <w:lang w:val="en-GB"/>
              </w:rPr>
              <w:t>00,000</w:t>
            </w:r>
            <w:r>
              <w:rPr>
                <w:rFonts w:ascii="Garamond" w:hAnsi="Garamond"/>
              </w:rPr>
              <w:t xml:space="preserve"> (covers field visits and compliance verification)</w:t>
            </w:r>
          </w:p>
        </w:tc>
      </w:tr>
    </w:tbl>
    <w:p w14:paraId="7C3F5728">
      <w:pPr>
        <w:jc w:val="both"/>
        <w:rPr>
          <w:rFonts w:ascii="Garamond" w:hAnsi="Garamond"/>
          <w:b/>
          <w:bCs/>
        </w:rPr>
      </w:pPr>
    </w:p>
    <w:p w14:paraId="376E9345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Note:</w:t>
      </w:r>
      <w:r>
        <w:rPr>
          <w:rFonts w:ascii="Garamond" w:hAnsi="Garamond"/>
        </w:rPr>
        <w:t xml:space="preserve"> Fees may be reviewed periodically by </w:t>
      </w:r>
      <w:r>
        <w:rPr>
          <w:rFonts w:hint="default" w:ascii="Garamond" w:hAnsi="Garamond"/>
          <w:lang w:val="en-GB"/>
        </w:rPr>
        <w:t>ONDIPA</w:t>
      </w:r>
      <w:r>
        <w:rPr>
          <w:rFonts w:ascii="Garamond" w:hAnsi="Garamond"/>
        </w:rPr>
        <w:t xml:space="preserve"> in consultation with relevant MDAs.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41"/>
    <w:rsid w:val="000079D9"/>
    <w:rsid w:val="000B73AD"/>
    <w:rsid w:val="00182117"/>
    <w:rsid w:val="00B333A9"/>
    <w:rsid w:val="00D30F41"/>
    <w:rsid w:val="00FE5DE7"/>
    <w:rsid w:val="3190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3">
    <w:name w:val="Grid Table 4 Accent 4"/>
    <w:basedOn w:val="12"/>
    <w:uiPriority w:val="49"/>
    <w:pPr>
      <w:spacing w:after="0" w:line="240" w:lineRule="auto"/>
    </w:pPr>
    <w:tblPr>
      <w:tblBorders>
        <w:top w:val="single" w:color="60CBF3" w:themeColor="accent4" w:themeTint="99" w:sz="4" w:space="0"/>
        <w:left w:val="single" w:color="60CBF3" w:themeColor="accent4" w:themeTint="99" w:sz="4" w:space="0"/>
        <w:bottom w:val="single" w:color="60CBF3" w:themeColor="accent4" w:themeTint="99" w:sz="4" w:space="0"/>
        <w:right w:val="single" w:color="60CBF3" w:themeColor="accent4" w:themeTint="99" w:sz="4" w:space="0"/>
        <w:insideH w:val="single" w:color="60CBF3" w:themeColor="accent4" w:themeTint="99" w:sz="4" w:space="0"/>
        <w:insideV w:val="single" w:color="60CBF3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AEDFB" w:themeFill="accent4" w:themeFillTint="33"/>
      </w:tcPr>
    </w:tblStylePr>
    <w:tblStylePr w:type="band1Horz">
      <w:tcPr>
        <w:shd w:val="clear" w:color="auto" w:fill="CAEDFB" w:themeFill="accent4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800</Characters>
  <Lines>6</Lines>
  <Paragraphs>1</Paragraphs>
  <TotalTime>6</TotalTime>
  <ScaleCrop>false</ScaleCrop>
  <LinksUpToDate>false</LinksUpToDate>
  <CharactersWithSpaces>939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2025-08-29T22:34:00Z</dcterms:created>
  <dc:creator>Michael Daramola</dc:creator>
  <cp:lastModifiedBy>Richard Alonge</cp:lastModifiedBy>
  <dcterms:modified xsi:type="dcterms:W3CDTF">2025-12-31T15:37:28Z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DB0CA3F2DE374A28AE14BFCB8605529D_12</vt:lpwstr>
  </property>
</Properties>
</file>