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7C87">
      <w:pPr>
        <w:jc w:val="center"/>
        <w:rPr>
          <w:b/>
          <w:bCs/>
          <w:sz w:val="28"/>
          <w:szCs w:val="28"/>
        </w:rPr>
      </w:pPr>
      <w:r>
        <w:rPr>
          <w:b/>
          <w:bCs/>
          <w:sz w:val="28"/>
          <w:szCs w:val="28"/>
          <w:highlight w:val="yellow"/>
        </w:rPr>
        <mc:AlternateContent>
          <mc:Choice Requires="wps">
            <w:drawing>
              <wp:anchor distT="0" distB="0" distL="114300" distR="114300" simplePos="0" relativeHeight="251659264" behindDoc="0" locked="0" layoutInCell="1" allowOverlap="1">
                <wp:simplePos x="0" y="0"/>
                <wp:positionH relativeFrom="column">
                  <wp:posOffset>845820</wp:posOffset>
                </wp:positionH>
                <wp:positionV relativeFrom="paragraph">
                  <wp:posOffset>243840</wp:posOffset>
                </wp:positionV>
                <wp:extent cx="6553200" cy="1120140"/>
                <wp:effectExtent l="0" t="0" r="0" b="3810"/>
                <wp:wrapNone/>
                <wp:docPr id="426930899" name="Text Box 1"/>
                <wp:cNvGraphicFramePr/>
                <a:graphic xmlns:a="http://schemas.openxmlformats.org/drawingml/2006/main">
                  <a:graphicData uri="http://schemas.microsoft.com/office/word/2010/wordprocessingShape">
                    <wps:wsp>
                      <wps:cNvSpPr txBox="1"/>
                      <wps:spPr>
                        <a:xfrm>
                          <a:off x="0" y="0"/>
                          <a:ext cx="6553200" cy="1120140"/>
                        </a:xfrm>
                        <a:prstGeom prst="rect">
                          <a:avLst/>
                        </a:prstGeom>
                        <a:solidFill>
                          <a:schemeClr val="lt1"/>
                        </a:solidFill>
                        <a:ln w="6350">
                          <a:noFill/>
                        </a:ln>
                      </wps:spPr>
                      <wps:txbx>
                        <w:txbxContent>
                          <w:p w14:paraId="44944C1F">
                            <w:pPr>
                              <w:pStyle w:val="40"/>
                              <w:jc w:val="center"/>
                              <w:rPr>
                                <w:b/>
                                <w:bCs/>
                                <w:sz w:val="24"/>
                                <w:szCs w:val="24"/>
                              </w:rPr>
                            </w:pPr>
                            <w:r>
                              <w:rPr>
                                <w:b/>
                                <w:bCs/>
                                <w:sz w:val="24"/>
                                <w:szCs w:val="24"/>
                              </w:rPr>
                              <w:t>Investment House Alagbaka, Akure, Ondo State</w:t>
                            </w:r>
                          </w:p>
                          <w:p w14:paraId="33E7935C">
                            <w:pPr>
                              <w:pStyle w:val="40"/>
                              <w:jc w:val="center"/>
                              <w:rPr>
                                <w:b/>
                                <w:bCs/>
                                <w:sz w:val="24"/>
                                <w:szCs w:val="24"/>
                              </w:rPr>
                            </w:pPr>
                            <w:r>
                              <w:rPr>
                                <w:b/>
                                <w:bCs/>
                                <w:sz w:val="24"/>
                                <w:szCs w:val="24"/>
                              </w:rPr>
                              <w:t>Email: contact@ondipa.org</w:t>
                            </w:r>
                          </w:p>
                          <w:p w14:paraId="1906BBB0">
                            <w:pPr>
                              <w:pStyle w:val="40"/>
                              <w:jc w:val="center"/>
                              <w:rPr>
                                <w:rFonts w:hint="default"/>
                                <w:b/>
                                <w:bCs/>
                                <w:sz w:val="24"/>
                                <w:szCs w:val="24"/>
                                <w:lang w:val="en-GB"/>
                              </w:rPr>
                            </w:pPr>
                            <w:r>
                              <w:rPr>
                                <w:b/>
                                <w:bCs/>
                                <w:sz w:val="24"/>
                                <w:szCs w:val="24"/>
                              </w:rPr>
                              <w:t xml:space="preserve">Phone: +234 </w:t>
                            </w:r>
                            <w:r>
                              <w:rPr>
                                <w:rFonts w:hint="default"/>
                                <w:b/>
                                <w:bCs/>
                                <w:sz w:val="24"/>
                                <w:szCs w:val="24"/>
                                <w:lang w:val="en-GB"/>
                              </w:rPr>
                              <w:t>9032416768</w:t>
                            </w:r>
                          </w:p>
                          <w:p w14:paraId="66E75946">
                            <w:pPr>
                              <w:pStyle w:val="40"/>
                              <w:jc w:val="center"/>
                            </w:pPr>
                          </w:p>
                          <w:p w14:paraId="0E1CD81F">
                            <w:pPr>
                              <w:pStyle w:val="40"/>
                            </w:pPr>
                            <w:r>
                              <w:t>In Accordance with the provisions of the Ondo State Investment Promotion Agency Law &amp; Other Matter Connected</w:t>
                            </w:r>
                          </w:p>
                          <w:p w14:paraId="5416125F">
                            <w:pPr>
                              <w:pStyle w:val="40"/>
                              <w:jc w:val="center"/>
                            </w:pPr>
                          </w:p>
                          <w:p w14:paraId="7219BFF7">
                            <w:pPr>
                              <w:pStyle w:val="40"/>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66.6pt;margin-top:19.2pt;height:88.2pt;width:516pt;z-index:251659264;mso-width-relative:page;mso-height-relative:page;" fillcolor="#FFFFFF [3201]" filled="t" stroked="f" coordsize="21600,21600" o:gfxdata="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w1hDNYAAAALAQAADwAAAAAAAAABACAA&#10;AAAiAAAAZHJzL2Rvd25yZXYueG1sUEsBAhQAFAAAAAgAh07iQNiUuGVIAgAAlwQAAA4AAAAAAAAA&#10;AQAgAAAAJQEAAGRycy9lMm9Eb2MueG1sUEsFBgAAAAAGAAYAWQEAAN8FAAAAAA==&#10;">
                <v:fill on="t" focussize="0,0"/>
                <v:stroke on="f" weight="0.5pt"/>
                <v:imagedata o:title=""/>
                <o:lock v:ext="edit" aspectratio="f"/>
                <v:textbox>
                  <w:txbxContent>
                    <w:p w14:paraId="44944C1F">
                      <w:pPr>
                        <w:pStyle w:val="40"/>
                        <w:jc w:val="center"/>
                        <w:rPr>
                          <w:b/>
                          <w:bCs/>
                          <w:sz w:val="24"/>
                          <w:szCs w:val="24"/>
                        </w:rPr>
                      </w:pPr>
                      <w:r>
                        <w:rPr>
                          <w:b/>
                          <w:bCs/>
                          <w:sz w:val="24"/>
                          <w:szCs w:val="24"/>
                        </w:rPr>
                        <w:t>Investment House Alagbaka, Akure, Ondo State</w:t>
                      </w:r>
                    </w:p>
                    <w:p w14:paraId="33E7935C">
                      <w:pPr>
                        <w:pStyle w:val="40"/>
                        <w:jc w:val="center"/>
                        <w:rPr>
                          <w:b/>
                          <w:bCs/>
                          <w:sz w:val="24"/>
                          <w:szCs w:val="24"/>
                        </w:rPr>
                      </w:pPr>
                      <w:r>
                        <w:rPr>
                          <w:b/>
                          <w:bCs/>
                          <w:sz w:val="24"/>
                          <w:szCs w:val="24"/>
                        </w:rPr>
                        <w:t>Email: contact@ondipa.org</w:t>
                      </w:r>
                    </w:p>
                    <w:p w14:paraId="1906BBB0">
                      <w:pPr>
                        <w:pStyle w:val="40"/>
                        <w:jc w:val="center"/>
                        <w:rPr>
                          <w:rFonts w:hint="default"/>
                          <w:b/>
                          <w:bCs/>
                          <w:sz w:val="24"/>
                          <w:szCs w:val="24"/>
                          <w:lang w:val="en-GB"/>
                        </w:rPr>
                      </w:pPr>
                      <w:r>
                        <w:rPr>
                          <w:b/>
                          <w:bCs/>
                          <w:sz w:val="24"/>
                          <w:szCs w:val="24"/>
                        </w:rPr>
                        <w:t xml:space="preserve">Phone: +234 </w:t>
                      </w:r>
                      <w:r>
                        <w:rPr>
                          <w:rFonts w:hint="default"/>
                          <w:b/>
                          <w:bCs/>
                          <w:sz w:val="24"/>
                          <w:szCs w:val="24"/>
                          <w:lang w:val="en-GB"/>
                        </w:rPr>
                        <w:t>9032416768</w:t>
                      </w:r>
                    </w:p>
                    <w:p w14:paraId="66E75946">
                      <w:pPr>
                        <w:pStyle w:val="40"/>
                        <w:jc w:val="center"/>
                      </w:pPr>
                    </w:p>
                    <w:p w14:paraId="0E1CD81F">
                      <w:pPr>
                        <w:pStyle w:val="40"/>
                      </w:pPr>
                      <w:r>
                        <w:t>In Accordance with the provisions of the Ondo State Investment Promotion Agency Law &amp; Other Matter Connected</w:t>
                      </w:r>
                    </w:p>
                    <w:p w14:paraId="5416125F">
                      <w:pPr>
                        <w:pStyle w:val="40"/>
                        <w:jc w:val="center"/>
                      </w:pPr>
                    </w:p>
                    <w:p w14:paraId="7219BFF7">
                      <w:pPr>
                        <w:pStyle w:val="40"/>
                        <w:jc w:val="center"/>
                      </w:pPr>
                    </w:p>
                  </w:txbxContent>
                </v:textbox>
              </v:shape>
            </w:pict>
          </mc:Fallback>
        </mc:AlternateContent>
      </w:r>
      <w:r>
        <w:rPr>
          <w:b/>
          <w:bCs/>
          <w:sz w:val="28"/>
          <w:szCs w:val="28"/>
        </w:rPr>
        <w:t>Ondo State Investment Promotion Agenc</w:t>
      </w:r>
      <w:r>
        <w:rPr>
          <w:rFonts w:hint="default"/>
          <w:b/>
          <w:bCs/>
          <w:sz w:val="28"/>
          <w:szCs w:val="28"/>
          <w:lang w:val="en-GB"/>
        </w:rPr>
        <w:t>y</w:t>
      </w:r>
      <w:r>
        <w:rPr>
          <w:b/>
          <w:bCs/>
          <w:sz w:val="28"/>
          <w:szCs w:val="28"/>
        </w:rPr>
        <w:t xml:space="preserve"> (ONDIPA) Investment Approval Process</w:t>
      </w:r>
    </w:p>
    <w:p w14:paraId="3FCD7A2F">
      <w:pPr>
        <w:jc w:val="center"/>
      </w:pPr>
    </w:p>
    <w:p w14:paraId="7E4C76FE">
      <w:pPr>
        <w:spacing w:line="276" w:lineRule="auto"/>
        <w:jc w:val="center"/>
        <w:rPr>
          <w:rFonts w:cs="Arial"/>
        </w:rPr>
      </w:pPr>
    </w:p>
    <w:p w14:paraId="6AFD8BE8">
      <w:pPr>
        <w:spacing w:line="276" w:lineRule="auto"/>
        <w:rPr>
          <w:rFonts w:cs="Arial"/>
        </w:rPr>
      </w:pPr>
      <w:bookmarkStart w:id="0" w:name="_GoBack"/>
      <w:bookmarkEnd w:id="0"/>
    </w:p>
    <w:p w14:paraId="1A6EC107">
      <w:pPr>
        <w:spacing w:line="276" w:lineRule="auto"/>
        <w:rPr>
          <w:rFonts w:cs="Arial"/>
        </w:rPr>
      </w:pPr>
      <w:r>
        <w:rPr>
          <w:rFonts w:cs="Arial"/>
        </w:rPr>
        <w:t>Large-scale agricultural investments in Ondo state are underpinned by a framework defined by Ondo State Investment Promotion Agency FRILIA Principles. This large-scale agricultural investment approval process has been designed to be in line with the principles of FRILIA. It consists of the following six stages:</w:t>
      </w:r>
    </w:p>
    <w:tbl>
      <w:tblPr>
        <w:tblStyle w:val="42"/>
        <w:tblW w:w="1328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7"/>
        <w:gridCol w:w="4035"/>
      </w:tblGrid>
      <w:tr w14:paraId="6199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247" w:type="dxa"/>
          </w:tcPr>
          <w:p w14:paraId="2D688491">
            <w:pPr>
              <w:spacing w:after="0" w:line="240" w:lineRule="auto"/>
              <w:jc w:val="center"/>
              <w:rPr>
                <w:rFonts w:cs="Calibri" w:asciiTheme="minorHAnsi" w:hAnsiTheme="minorHAnsi"/>
                <w:sz w:val="24"/>
                <w:szCs w:val="24"/>
              </w:rPr>
            </w:pPr>
            <w:r>
              <w:rPr>
                <w:rFonts w:cs="Calibri" w:asciiTheme="minorHAnsi" w:hAnsiTheme="minorHAnsi"/>
                <w:sz w:val="24"/>
                <w:szCs w:val="24"/>
              </w:rPr>
              <w:t>Process Stage</w:t>
            </w:r>
          </w:p>
        </w:tc>
        <w:tc>
          <w:tcPr>
            <w:tcW w:w="4035" w:type="dxa"/>
          </w:tcPr>
          <w:p w14:paraId="1DB270B1">
            <w:pPr>
              <w:spacing w:after="0" w:line="240" w:lineRule="auto"/>
              <w:jc w:val="center"/>
              <w:rPr>
                <w:rFonts w:cs="Calibri" w:asciiTheme="minorHAnsi" w:hAnsiTheme="minorHAnsi"/>
                <w:b/>
                <w:bCs/>
                <w:sz w:val="24"/>
                <w:szCs w:val="24"/>
              </w:rPr>
            </w:pPr>
            <w:r>
              <w:rPr>
                <w:rFonts w:cs="Calibri" w:asciiTheme="minorHAnsi" w:hAnsiTheme="minorHAnsi"/>
                <w:b/>
                <w:bCs/>
                <w:sz w:val="24"/>
                <w:szCs w:val="24"/>
              </w:rPr>
              <w:t>Responsible Party</w:t>
            </w:r>
          </w:p>
        </w:tc>
      </w:tr>
      <w:tr w14:paraId="0C3A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9247" w:type="dxa"/>
          </w:tcPr>
          <w:p w14:paraId="68CFA748">
            <w:pPr>
              <w:spacing w:after="0" w:line="240" w:lineRule="auto"/>
              <w:rPr>
                <w:rFonts w:eastAsia="Times New Roman" w:cs="Times New Roman" w:asciiTheme="minorHAnsi" w:hAnsiTheme="minorHAnsi"/>
                <w:b/>
                <w:color w:val="000000"/>
                <w:sz w:val="28"/>
                <w:lang w:val="en-GB" w:eastAsia="en-GB"/>
              </w:rPr>
            </w:pPr>
            <w:r>
              <w:rPr>
                <w:rFonts w:eastAsia="Times New Roman" w:cs="Times New Roman" w:asciiTheme="minorHAnsi" w:hAnsiTheme="minorHAnsi"/>
                <w:b/>
                <w:color w:val="000000"/>
                <w:lang w:val="en-GB" w:eastAsia="en-GB"/>
              </w:rPr>
              <w:t xml:space="preserve">Stage 1: Initial Inquiries &amp; Know Your Customer (Due Diligence) </w:t>
            </w:r>
          </w:p>
          <w:p w14:paraId="015165B4">
            <w:pPr>
              <w:spacing w:after="0" w:line="240" w:lineRule="auto"/>
              <w:rPr>
                <w:rFonts w:eastAsia="Times New Roman" w:cs="Times New Roman" w:asciiTheme="minorHAnsi" w:hAnsiTheme="minorHAnsi"/>
                <w:b/>
                <w:color w:val="000000"/>
                <w:sz w:val="28"/>
                <w:lang w:val="en-GB" w:eastAsia="en-GB"/>
              </w:rPr>
            </w:pPr>
            <w:r>
              <w:rPr>
                <w:rFonts w:eastAsia="Times New Roman" w:cs="Times New Roman" w:asciiTheme="minorHAnsi" w:hAnsiTheme="minorHAnsi"/>
                <w:b/>
                <w:color w:val="000000"/>
                <w:lang w:val="en-GB" w:eastAsia="en-GB"/>
              </w:rPr>
              <w:t xml:space="preserve">Assessments </w:t>
            </w:r>
          </w:p>
          <w:p w14:paraId="66D11059">
            <w:pPr>
              <w:pStyle w:val="33"/>
              <w:numPr>
                <w:ilvl w:val="0"/>
                <w:numId w:val="1"/>
              </w:numPr>
              <w:spacing w:after="0" w:line="240" w:lineRule="auto"/>
              <w:rPr>
                <w:rFonts w:cs="Calibri" w:asciiTheme="minorHAnsi" w:hAnsiTheme="minorHAnsi"/>
              </w:rPr>
            </w:pPr>
            <w:r>
              <w:rPr>
                <w:rFonts w:cs="Arial" w:asciiTheme="minorHAnsi" w:hAnsiTheme="minorHAnsi"/>
              </w:rPr>
              <w:t>ONDIPA should be the primary entry point for ALL large-scale agricultural investments in Ondo State</w:t>
            </w:r>
          </w:p>
          <w:p w14:paraId="2AB75720">
            <w:pPr>
              <w:pStyle w:val="33"/>
              <w:numPr>
                <w:ilvl w:val="0"/>
                <w:numId w:val="1"/>
              </w:numPr>
              <w:spacing w:after="0" w:line="240" w:lineRule="auto"/>
              <w:rPr>
                <w:rFonts w:cs="Calibri" w:asciiTheme="minorHAnsi" w:hAnsiTheme="minorHAnsi"/>
              </w:rPr>
            </w:pPr>
            <w:r>
              <w:rPr>
                <w:rFonts w:cs="Arial" w:asciiTheme="minorHAnsi" w:hAnsiTheme="minorHAnsi"/>
              </w:rPr>
              <w:t>ONDIPA</w:t>
            </w:r>
            <w:r>
              <w:rPr>
                <w:rFonts w:eastAsia="Times New Roman" w:cs="Times New Roman" w:asciiTheme="minorHAnsi" w:hAnsiTheme="minorHAnsi"/>
                <w:color w:val="000000"/>
                <w:lang w:val="en-GB" w:eastAsia="en-GB"/>
              </w:rPr>
              <w:t xml:space="preserve"> approached by potential investor (or in some cases </w:t>
            </w:r>
            <w:r>
              <w:rPr>
                <w:rFonts w:cs="Arial" w:asciiTheme="minorHAnsi" w:hAnsiTheme="minorHAnsi"/>
              </w:rPr>
              <w:t>ONDIPA</w:t>
            </w:r>
            <w:r>
              <w:rPr>
                <w:rFonts w:eastAsia="Times New Roman" w:cs="Times New Roman" w:asciiTheme="minorHAnsi" w:hAnsiTheme="minorHAnsi"/>
                <w:color w:val="000000"/>
                <w:lang w:val="en-GB" w:eastAsia="en-GB"/>
              </w:rPr>
              <w:t xml:space="preserve"> may reach out to a potential investor)</w:t>
            </w:r>
          </w:p>
          <w:p w14:paraId="56962AF6">
            <w:pPr>
              <w:pStyle w:val="33"/>
              <w:numPr>
                <w:ilvl w:val="0"/>
                <w:numId w:val="1"/>
              </w:numPr>
              <w:spacing w:after="0" w:line="240" w:lineRule="auto"/>
              <w:rPr>
                <w:rFonts w:cs="Calibri" w:asciiTheme="minorHAnsi" w:hAnsiTheme="minorHAnsi"/>
              </w:rPr>
            </w:pPr>
            <w:r>
              <w:rPr>
                <w:rFonts w:cs="Arial" w:asciiTheme="minorHAnsi" w:hAnsiTheme="minorHAnsi"/>
              </w:rPr>
              <w:t>ONDIPA</w:t>
            </w:r>
            <w:r>
              <w:rPr>
                <w:rFonts w:eastAsia="Times New Roman" w:cs="Times New Roman" w:asciiTheme="minorHAnsi" w:hAnsiTheme="minorHAnsi"/>
                <w:color w:val="000000"/>
                <w:lang w:val="en-GB" w:eastAsia="en-GB"/>
              </w:rPr>
              <w:t xml:space="preserve"> conducts preliminary due diligence on investor and provides investor with information related to potential investment. </w:t>
            </w:r>
          </w:p>
          <w:p w14:paraId="11C5E17C">
            <w:pPr>
              <w:pStyle w:val="33"/>
              <w:numPr>
                <w:ilvl w:val="0"/>
                <w:numId w:val="1"/>
              </w:numPr>
              <w:spacing w:after="0" w:line="240" w:lineRule="auto"/>
              <w:rPr>
                <w:rFonts w:cs="Calibri" w:asciiTheme="minorHAnsi" w:hAnsiTheme="minorHAnsi"/>
              </w:rPr>
            </w:pPr>
            <w:r>
              <w:rPr>
                <w:rFonts w:cs="Calibri" w:asciiTheme="minorHAnsi" w:hAnsiTheme="minorHAnsi"/>
              </w:rPr>
              <w:t>Possible initial engagement with community if area has been preliminarily identified.</w:t>
            </w:r>
          </w:p>
          <w:p w14:paraId="59FAF785">
            <w:pPr>
              <w:pStyle w:val="33"/>
              <w:spacing w:after="0" w:line="240" w:lineRule="auto"/>
              <w:ind w:left="360"/>
              <w:rPr>
                <w:rFonts w:hint="default" w:cs="Calibri" w:asciiTheme="minorHAnsi" w:hAnsiTheme="minorHAnsi"/>
                <w:lang w:val="en-GB"/>
              </w:rPr>
            </w:pPr>
            <w:r>
              <w:rPr>
                <w:rFonts w:hint="default" w:cs="Calibri"/>
                <w:b/>
                <w:bCs/>
                <w:lang w:val="en-GB"/>
              </w:rPr>
              <w:t>Two (2) weeks</w:t>
            </w:r>
          </w:p>
        </w:tc>
        <w:tc>
          <w:tcPr>
            <w:tcW w:w="4035" w:type="dxa"/>
          </w:tcPr>
          <w:p w14:paraId="0BF68AE0">
            <w:pPr>
              <w:spacing w:after="0" w:line="240" w:lineRule="auto"/>
              <w:rPr>
                <w:rFonts w:cs="Calibri" w:asciiTheme="minorHAnsi" w:hAnsiTheme="minorHAnsi"/>
              </w:rPr>
            </w:pPr>
            <w:r>
              <w:rPr>
                <w:rFonts w:cs="Calibri" w:asciiTheme="minorHAnsi" w:hAnsiTheme="minorHAnsi"/>
              </w:rPr>
              <w:t>ONDIPA, Ondo State Ministry of Agriculture and Forestry</w:t>
            </w:r>
          </w:p>
        </w:tc>
      </w:tr>
      <w:tr w14:paraId="2F03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9247" w:type="dxa"/>
          </w:tcPr>
          <w:p w14:paraId="3A62AA05">
            <w:pPr>
              <w:spacing w:after="0" w:line="240" w:lineRule="auto"/>
              <w:rPr>
                <w:rFonts w:eastAsia="Times New Roman" w:cs="Times New Roman" w:asciiTheme="minorHAnsi" w:hAnsiTheme="minorHAnsi"/>
                <w:b/>
                <w:color w:val="000000"/>
                <w:lang w:val="en-GB" w:eastAsia="en-GB"/>
              </w:rPr>
            </w:pPr>
            <w:r>
              <w:rPr>
                <w:rFonts w:eastAsia="Times New Roman" w:cs="Times New Roman" w:asciiTheme="minorHAnsi" w:hAnsiTheme="minorHAnsi"/>
                <w:b/>
                <w:color w:val="000000"/>
                <w:lang w:val="en-GB" w:eastAsia="en-GB"/>
              </w:rPr>
              <w:t>Stage 2: Information Exchange &amp; Site Visits</w:t>
            </w:r>
          </w:p>
          <w:p w14:paraId="76215043">
            <w:pPr>
              <w:numPr>
                <w:ilvl w:val="0"/>
                <w:numId w:val="2"/>
              </w:numPr>
              <w:spacing w:after="0" w:line="240" w:lineRule="auto"/>
              <w:ind w:left="360"/>
              <w:contextualSpacing/>
              <w:rPr>
                <w:rFonts w:cs="Calibri" w:asciiTheme="minorHAnsi" w:hAnsiTheme="minorHAnsi"/>
                <w:bCs/>
              </w:rPr>
            </w:pPr>
            <w:r>
              <w:rPr>
                <w:rFonts w:cs="Arial" w:asciiTheme="minorHAnsi" w:hAnsiTheme="minorHAnsi"/>
              </w:rPr>
              <w:t>ONDIPA</w:t>
            </w:r>
            <w:r>
              <w:rPr>
                <w:rFonts w:eastAsia="Times New Roman" w:cs="Times New Roman" w:asciiTheme="minorHAnsi" w:hAnsiTheme="minorHAnsi"/>
                <w:color w:val="000000"/>
                <w:lang w:val="en-GB" w:eastAsia="en-GB"/>
              </w:rPr>
              <w:t xml:space="preserve"> continues to provide information and resources the potential investor may need to proceed with the investment. Also coordinates the investor’s interaction with other government agencies and helps the investor locate service providers.</w:t>
            </w:r>
          </w:p>
          <w:p w14:paraId="7711215C">
            <w:pPr>
              <w:numPr>
                <w:ilvl w:val="0"/>
                <w:numId w:val="2"/>
              </w:numPr>
              <w:spacing w:after="0" w:line="240" w:lineRule="auto"/>
              <w:ind w:left="360"/>
              <w:contextualSpacing/>
              <w:rPr>
                <w:rFonts w:cs="Calibri" w:asciiTheme="minorHAnsi" w:hAnsiTheme="minorHAnsi"/>
                <w:bCs/>
              </w:rPr>
            </w:pPr>
            <w:r>
              <w:rPr>
                <w:rFonts w:cs="Arial" w:asciiTheme="minorHAnsi" w:hAnsiTheme="minorHAnsi"/>
              </w:rPr>
              <w:t>ONDIPA</w:t>
            </w:r>
            <w:r>
              <w:rPr>
                <w:rFonts w:cs="Calibri" w:asciiTheme="minorHAnsi" w:hAnsiTheme="minorHAnsi"/>
                <w:bCs/>
              </w:rPr>
              <w:t xml:space="preserve"> arranges for site visits for the investor after notifying local officials and communities of investor interest.</w:t>
            </w:r>
          </w:p>
          <w:p w14:paraId="4A8E7D0A">
            <w:pPr>
              <w:numPr>
                <w:ilvl w:val="0"/>
                <w:numId w:val="2"/>
              </w:numPr>
              <w:spacing w:after="0" w:line="240" w:lineRule="auto"/>
              <w:ind w:left="360"/>
              <w:contextualSpacing/>
              <w:rPr>
                <w:rFonts w:cs="Calibri" w:asciiTheme="minorHAnsi" w:hAnsiTheme="minorHAnsi"/>
                <w:bCs/>
              </w:rPr>
            </w:pPr>
            <w:r>
              <w:rPr>
                <w:rFonts w:cs="Arial" w:asciiTheme="minorHAnsi" w:hAnsiTheme="minorHAnsi"/>
              </w:rPr>
              <w:t>ONDIPA</w:t>
            </w:r>
            <w:r>
              <w:rPr>
                <w:rFonts w:eastAsia="Times New Roman" w:cs="Times New Roman" w:asciiTheme="minorHAnsi" w:hAnsiTheme="minorHAnsi"/>
                <w:color w:val="000000"/>
                <w:lang w:val="en-GB" w:eastAsia="en-GB"/>
              </w:rPr>
              <w:t xml:space="preserve"> notifies local government officials, other ward and community stakeholders to engage in internal consultations and then to respond preliminarily whether they might welcome the investment.</w:t>
            </w:r>
          </w:p>
          <w:p w14:paraId="6739AC8C">
            <w:pPr>
              <w:spacing w:after="0" w:line="240" w:lineRule="auto"/>
              <w:ind w:left="360"/>
              <w:contextualSpacing/>
              <w:rPr>
                <w:rFonts w:hint="default" w:cs="Calibri" w:asciiTheme="minorHAnsi" w:hAnsiTheme="minorHAnsi"/>
                <w:bCs/>
                <w:lang w:val="en-GB"/>
              </w:rPr>
            </w:pPr>
            <w:r>
              <w:rPr>
                <w:rFonts w:hint="default" w:cs="Calibri"/>
                <w:b/>
                <w:bCs w:val="0"/>
                <w:lang w:val="en-GB"/>
              </w:rPr>
              <w:t>Two (2) weeks</w:t>
            </w:r>
          </w:p>
        </w:tc>
        <w:tc>
          <w:tcPr>
            <w:tcW w:w="4035" w:type="dxa"/>
          </w:tcPr>
          <w:p w14:paraId="261C8410">
            <w:pPr>
              <w:spacing w:after="0" w:line="240" w:lineRule="auto"/>
              <w:rPr>
                <w:rFonts w:cs="Calibri" w:asciiTheme="minorHAnsi" w:hAnsiTheme="minorHAnsi"/>
              </w:rPr>
            </w:pPr>
            <w:r>
              <w:rPr>
                <w:rFonts w:cs="Calibri" w:asciiTheme="minorHAnsi" w:hAnsiTheme="minorHAnsi"/>
              </w:rPr>
              <w:t xml:space="preserve">ONDIPA, Ministry of Land, Ministry of Investment, Ministry of Finance, Ministry of Environment, </w:t>
            </w:r>
            <w:r>
              <w:rPr>
                <w:rFonts w:hint="default" w:cs="Calibri"/>
                <w:lang w:val="en-GB"/>
              </w:rPr>
              <w:t xml:space="preserve">Commerce, Industry and Cooperative Service, </w:t>
            </w:r>
            <w:r>
              <w:rPr>
                <w:rFonts w:cs="Calibri" w:asciiTheme="minorHAnsi" w:hAnsiTheme="minorHAnsi"/>
              </w:rPr>
              <w:t>LGA Officials, Community Leaders, Traditional Leaders, CSOs.</w:t>
            </w:r>
          </w:p>
        </w:tc>
      </w:tr>
      <w:tr w14:paraId="46B5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247" w:type="dxa"/>
          </w:tcPr>
          <w:p w14:paraId="2879E3FF">
            <w:pPr>
              <w:spacing w:after="0" w:line="259" w:lineRule="auto"/>
              <w:rPr>
                <w:rFonts w:eastAsia="Times New Roman" w:cs="Times New Roman" w:asciiTheme="minorHAnsi" w:hAnsiTheme="minorHAnsi"/>
                <w:bCs/>
                <w:color w:val="000000"/>
                <w:lang w:val="en-GB" w:eastAsia="en-GB"/>
              </w:rPr>
            </w:pPr>
            <w:r>
              <w:rPr>
                <w:rFonts w:eastAsia="Times New Roman" w:cs="Times New Roman" w:asciiTheme="minorHAnsi" w:hAnsiTheme="minorHAnsi"/>
                <w:b/>
                <w:color w:val="000000"/>
                <w:lang w:val="en-GB" w:eastAsia="en-GB"/>
              </w:rPr>
              <w:t xml:space="preserve">Stage 3: Potential Investor Proceeds or Withdraws </w:t>
            </w:r>
          </w:p>
          <w:p w14:paraId="672C81EE">
            <w:pPr>
              <w:pStyle w:val="33"/>
              <w:numPr>
                <w:ilvl w:val="0"/>
                <w:numId w:val="3"/>
              </w:numPr>
              <w:spacing w:after="0" w:line="240" w:lineRule="auto"/>
              <w:rPr>
                <w:rFonts w:cs="Calibri" w:asciiTheme="minorHAnsi" w:hAnsiTheme="minorHAnsi"/>
              </w:rPr>
            </w:pPr>
            <w:r>
              <w:rPr>
                <w:rFonts w:eastAsia="Times New Roman" w:cs="Times New Roman" w:asciiTheme="minorHAnsi" w:hAnsiTheme="minorHAnsi"/>
                <w:color w:val="000000"/>
                <w:lang w:val="en-GB" w:eastAsia="en-GB"/>
              </w:rPr>
              <w:t>The investor reacts to the community’s initial response to the potential investment and the investor’s own assessment of the viability of the investment and potential site. If the investor decides to withdraw, the process stops. If the investor wishes to consider a different location within the State, the process reverts to Stage 2. The process also ends if the community decides not to proceed.</w:t>
            </w:r>
          </w:p>
          <w:p w14:paraId="5AF72330">
            <w:pPr>
              <w:pStyle w:val="33"/>
              <w:numPr>
                <w:ilvl w:val="0"/>
                <w:numId w:val="3"/>
              </w:numPr>
              <w:spacing w:after="0" w:line="240" w:lineRule="auto"/>
              <w:rPr>
                <w:rFonts w:cs="Calibri" w:asciiTheme="minorHAnsi" w:hAnsiTheme="minorHAnsi"/>
              </w:rPr>
            </w:pPr>
            <w:r>
              <w:rPr>
                <w:rFonts w:eastAsia="Times New Roman" w:cs="Times New Roman" w:asciiTheme="minorHAnsi" w:hAnsiTheme="minorHAnsi"/>
                <w:color w:val="000000"/>
                <w:lang w:val="en-GB" w:eastAsia="en-GB"/>
              </w:rPr>
              <w:t>If the potential investor decides to proceed and the community is supportive, the investor should engage further, build relationships with the community and get them fully involved. The investor and the community (with legal assistance provided by Ondo</w:t>
            </w:r>
            <w:r>
              <w:rPr>
                <w:rFonts w:hint="default" w:eastAsia="Times New Roman" w:cs="Times New Roman"/>
                <w:color w:val="000000"/>
                <w:lang w:val="en-US" w:eastAsia="en-GB"/>
              </w:rPr>
              <w:t xml:space="preserve"> </w:t>
            </w:r>
            <w:r>
              <w:rPr>
                <w:rFonts w:eastAsia="Times New Roman" w:cs="Times New Roman" w:asciiTheme="minorHAnsi" w:hAnsiTheme="minorHAnsi"/>
                <w:color w:val="000000"/>
                <w:lang w:val="en-GB" w:eastAsia="en-GB"/>
              </w:rPr>
              <w:t>State Ministry of Justice should begin to discuss a community engagement plan to guide the ongoing consultations.</w:t>
            </w:r>
          </w:p>
          <w:p w14:paraId="31816E90">
            <w:pPr>
              <w:pStyle w:val="33"/>
              <w:spacing w:after="0" w:line="240" w:lineRule="auto"/>
              <w:rPr>
                <w:rFonts w:hint="default" w:cs="Calibri" w:asciiTheme="minorHAnsi" w:hAnsiTheme="minorHAnsi"/>
                <w:lang w:val="en-GB"/>
              </w:rPr>
            </w:pPr>
            <w:r>
              <w:rPr>
                <w:rFonts w:hint="default" w:cs="Calibri"/>
                <w:b/>
                <w:bCs/>
                <w:lang w:val="en-GB"/>
              </w:rPr>
              <w:t>Two (2) weeks</w:t>
            </w:r>
          </w:p>
        </w:tc>
        <w:tc>
          <w:tcPr>
            <w:tcW w:w="4035" w:type="dxa"/>
          </w:tcPr>
          <w:p w14:paraId="434EF260">
            <w:pPr>
              <w:spacing w:after="0" w:line="240" w:lineRule="auto"/>
              <w:rPr>
                <w:rFonts w:cs="Calibri" w:asciiTheme="minorHAnsi" w:hAnsiTheme="minorHAnsi"/>
              </w:rPr>
            </w:pPr>
            <w:r>
              <w:rPr>
                <w:rFonts w:cs="Calibri" w:asciiTheme="minorHAnsi" w:hAnsiTheme="minorHAnsi"/>
                <w:b/>
                <w:bCs/>
              </w:rPr>
              <w:t>ONDIPA, Ministry of Agriculture, Ministry of Justice, Investors, Community Leaders, Traditional Leaders, LGA Officials, CSO</w:t>
            </w:r>
          </w:p>
        </w:tc>
      </w:tr>
      <w:tr w14:paraId="58B5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247" w:type="dxa"/>
          </w:tcPr>
          <w:p w14:paraId="2D421BAC">
            <w:pPr>
              <w:spacing w:after="0" w:line="240" w:lineRule="auto"/>
              <w:rPr>
                <w:rFonts w:eastAsia="Times New Roman" w:cs="Times New Roman" w:asciiTheme="minorHAnsi" w:hAnsiTheme="minorHAnsi"/>
                <w:b/>
                <w:color w:val="000000"/>
                <w:lang w:val="en-GB" w:eastAsia="en-GB"/>
              </w:rPr>
            </w:pPr>
            <w:r>
              <w:rPr>
                <w:rFonts w:eastAsia="Times New Roman" w:cs="Times New Roman" w:asciiTheme="minorHAnsi" w:hAnsiTheme="minorHAnsi"/>
                <w:b/>
                <w:color w:val="000000"/>
                <w:lang w:val="en-GB" w:eastAsia="en-GB"/>
              </w:rPr>
              <w:t xml:space="preserve">Stage 4: Investor Enters into a Memorandum of Understanding (“MoU”) with </w:t>
            </w:r>
            <w:r>
              <w:rPr>
                <w:rFonts w:cs="Arial" w:asciiTheme="minorHAnsi" w:hAnsiTheme="minorHAnsi"/>
              </w:rPr>
              <w:t xml:space="preserve">ONDIPA </w:t>
            </w:r>
            <w:r>
              <w:rPr>
                <w:rFonts w:eastAsia="Times New Roman" w:cs="Times New Roman" w:asciiTheme="minorHAnsi" w:hAnsiTheme="minorHAnsi"/>
                <w:b/>
                <w:color w:val="000000"/>
                <w:lang w:val="en-GB" w:eastAsia="en-GB"/>
              </w:rPr>
              <w:t>and Representatives of the Affected Communities.</w:t>
            </w:r>
          </w:p>
          <w:p w14:paraId="5C2C6AAD">
            <w:pPr>
              <w:numPr>
                <w:ilvl w:val="0"/>
                <w:numId w:val="4"/>
              </w:numPr>
              <w:spacing w:after="22" w:line="240" w:lineRule="auto"/>
              <w:ind w:right="58"/>
              <w:contextualSpacing/>
              <w:rPr>
                <w:rFonts w:eastAsia="Times New Roman" w:cs="Times New Roman" w:asciiTheme="minorHAnsi" w:hAnsiTheme="minorHAnsi"/>
                <w:color w:val="000000"/>
                <w:lang w:val="en-GB" w:eastAsia="en-GB"/>
              </w:rPr>
            </w:pPr>
            <w:r>
              <w:rPr>
                <w:rFonts w:cs="Arial" w:asciiTheme="minorHAnsi" w:hAnsiTheme="minorHAnsi"/>
              </w:rPr>
              <w:t>ONDIPA</w:t>
            </w:r>
            <w:r>
              <w:rPr>
                <w:rFonts w:eastAsia="Times New Roman" w:cs="Times New Roman" w:asciiTheme="minorHAnsi" w:hAnsiTheme="minorHAnsi"/>
                <w:color w:val="000000"/>
                <w:lang w:val="en-GB" w:eastAsia="en-GB"/>
              </w:rPr>
              <w:t xml:space="preserve"> does more in-depth due diligence on the investor and </w:t>
            </w:r>
            <w:r>
              <w:rPr>
                <w:rFonts w:cs="Arial" w:asciiTheme="minorHAnsi" w:hAnsiTheme="minorHAnsi"/>
              </w:rPr>
              <w:t>ONDIPA</w:t>
            </w:r>
            <w:r>
              <w:rPr>
                <w:rFonts w:eastAsia="Times New Roman" w:cs="Times New Roman" w:asciiTheme="minorHAnsi" w:hAnsiTheme="minorHAnsi"/>
                <w:color w:val="000000"/>
                <w:lang w:val="en-GB" w:eastAsia="en-GB"/>
              </w:rPr>
              <w:t xml:space="preserve"> shares additional due diligence findings with other stakeholders.</w:t>
            </w:r>
          </w:p>
          <w:p w14:paraId="2F055CD8">
            <w:pPr>
              <w:pStyle w:val="33"/>
              <w:numPr>
                <w:ilvl w:val="0"/>
                <w:numId w:val="4"/>
              </w:numPr>
              <w:spacing w:after="0" w:line="240" w:lineRule="auto"/>
              <w:rPr>
                <w:rFonts w:cs="Calibri" w:asciiTheme="minorHAnsi" w:hAnsiTheme="minorHAnsi"/>
                <w:bCs/>
              </w:rPr>
            </w:pPr>
            <w:r>
              <w:rPr>
                <w:rFonts w:eastAsia="Times New Roman" w:cs="Times New Roman" w:asciiTheme="minorHAnsi" w:hAnsiTheme="minorHAnsi"/>
                <w:color w:val="000000"/>
                <w:lang w:val="en-GB" w:eastAsia="en-GB"/>
              </w:rPr>
              <w:t>Consultations with the community continues and a community engagement plan may be agreed to at this point.</w:t>
            </w:r>
          </w:p>
          <w:p w14:paraId="7CB5FE22">
            <w:pPr>
              <w:pStyle w:val="33"/>
              <w:numPr>
                <w:ilvl w:val="0"/>
                <w:numId w:val="4"/>
              </w:numPr>
              <w:spacing w:after="0" w:line="240" w:lineRule="auto"/>
              <w:rPr>
                <w:rFonts w:cs="Calibri" w:asciiTheme="minorHAnsi" w:hAnsiTheme="minorHAnsi"/>
                <w:bCs/>
              </w:rPr>
            </w:pPr>
            <w:r>
              <w:rPr>
                <w:rFonts w:eastAsia="Times New Roman" w:cs="Times New Roman" w:asciiTheme="minorHAnsi" w:hAnsiTheme="minorHAnsi"/>
                <w:color w:val="000000"/>
                <w:lang w:val="en-GB" w:eastAsia="en-GB"/>
              </w:rPr>
              <w:t>If all parties continue to be supportive of the proposed investment, they attempt to agree on an MoU that covers the framework of the investment, how much land is required, benefits that may accrue to the community, commitments to ongoing consultation, preparation of an ESIA, etc. The MoU does not legally commit any party to a final agreement on the proposed investment.</w:t>
            </w:r>
          </w:p>
          <w:p w14:paraId="7BC796D1">
            <w:pPr>
              <w:pStyle w:val="33"/>
              <w:spacing w:after="0" w:line="240" w:lineRule="auto"/>
              <w:ind w:left="360"/>
              <w:rPr>
                <w:rFonts w:hint="default" w:cs="Calibri" w:asciiTheme="minorHAnsi" w:hAnsiTheme="minorHAnsi"/>
                <w:bCs/>
                <w:lang w:val="en-GB"/>
              </w:rPr>
            </w:pPr>
            <w:r>
              <w:rPr>
                <w:rFonts w:hint="default" w:cs="Calibri"/>
                <w:b/>
                <w:bCs w:val="0"/>
                <w:lang w:val="en-GB"/>
              </w:rPr>
              <w:t>Two (2) weeks</w:t>
            </w:r>
          </w:p>
        </w:tc>
        <w:tc>
          <w:tcPr>
            <w:tcW w:w="4035" w:type="dxa"/>
          </w:tcPr>
          <w:p w14:paraId="66BF6C96">
            <w:pPr>
              <w:spacing w:after="0" w:line="240" w:lineRule="auto"/>
              <w:rPr>
                <w:rFonts w:hint="default" w:cs="Calibri" w:asciiTheme="minorHAnsi" w:hAnsiTheme="minorHAnsi"/>
                <w:lang w:val="en-GB"/>
              </w:rPr>
            </w:pPr>
            <w:r>
              <w:rPr>
                <w:rFonts w:cs="Calibri" w:asciiTheme="minorHAnsi" w:hAnsiTheme="minorHAnsi"/>
                <w:b/>
                <w:bCs/>
              </w:rPr>
              <w:t>ONDIPA, Ministry of Agriculture, Community Leaders, Traditional Leaders, Ministry of Justice, CSO, LGA officials, Ministry of LGA, Ministry of Environment</w:t>
            </w:r>
            <w:r>
              <w:rPr>
                <w:rFonts w:hint="default" w:cs="Calibri"/>
                <w:b/>
                <w:bCs/>
                <w:lang w:val="en-GB"/>
              </w:rPr>
              <w:t xml:space="preserve"> and Office of the Secretary to the State Government</w:t>
            </w:r>
          </w:p>
        </w:tc>
      </w:tr>
      <w:tr w14:paraId="3068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9247" w:type="dxa"/>
          </w:tcPr>
          <w:p w14:paraId="4BB918A8">
            <w:pPr>
              <w:spacing w:after="0" w:line="240" w:lineRule="auto"/>
              <w:rPr>
                <w:rFonts w:eastAsia="Times New Roman" w:cs="Times New Roman" w:asciiTheme="minorHAnsi" w:hAnsiTheme="minorHAnsi"/>
                <w:b/>
                <w:color w:val="000000"/>
                <w:lang w:val="en-GB" w:eastAsia="en-GB"/>
              </w:rPr>
            </w:pPr>
            <w:r>
              <w:rPr>
                <w:rFonts w:eastAsia="Times New Roman" w:cs="Times New Roman" w:asciiTheme="minorHAnsi" w:hAnsiTheme="minorHAnsi"/>
                <w:b/>
                <w:color w:val="000000"/>
                <w:lang w:val="en-GB" w:eastAsia="en-GB"/>
              </w:rPr>
              <w:t>Stage 5: Investor Completes and Shares a Feasibility Study, Business Plan and an independent Environmental and Social Impact Assessment (ESIA).</w:t>
            </w:r>
          </w:p>
          <w:p w14:paraId="16F3D294">
            <w:pPr>
              <w:pStyle w:val="33"/>
              <w:numPr>
                <w:ilvl w:val="0"/>
                <w:numId w:val="5"/>
              </w:numPr>
              <w:spacing w:after="0" w:line="240" w:lineRule="auto"/>
              <w:rPr>
                <w:rFonts w:cs="Calibri" w:asciiTheme="minorHAnsi" w:hAnsiTheme="minorHAnsi"/>
              </w:rPr>
            </w:pPr>
            <w:r>
              <w:rPr>
                <w:rFonts w:eastAsia="Times New Roman" w:cs="Times New Roman" w:asciiTheme="minorHAnsi" w:hAnsiTheme="minorHAnsi"/>
                <w:color w:val="000000"/>
                <w:lang w:val="en-GB" w:eastAsia="en-GB"/>
              </w:rPr>
              <w:t>Ondo State Ministry of Environment makes its determination whether the ESIA is acceptable and notifies the investor within seven</w:t>
            </w:r>
            <w:r>
              <w:rPr>
                <w:rFonts w:cs="Arial" w:asciiTheme="minorHAnsi" w:hAnsiTheme="minorHAnsi"/>
              </w:rPr>
              <w:t xml:space="preserve"> working</w:t>
            </w:r>
            <w:r>
              <w:rPr>
                <w:rFonts w:eastAsia="Times New Roman" w:cs="Times New Roman" w:asciiTheme="minorHAnsi" w:hAnsiTheme="minorHAnsi"/>
                <w:color w:val="000000"/>
                <w:lang w:val="en-GB" w:eastAsia="en-GB"/>
              </w:rPr>
              <w:t xml:space="preserve"> days of receiving it.</w:t>
            </w:r>
          </w:p>
          <w:p w14:paraId="22E240AC">
            <w:pPr>
              <w:numPr>
                <w:ilvl w:val="0"/>
                <w:numId w:val="5"/>
              </w:numPr>
              <w:spacing w:after="0" w:line="240" w:lineRule="auto"/>
              <w:rPr>
                <w:rFonts w:eastAsia="Times New Roman" w:cs="Times New Roman" w:asciiTheme="minorHAnsi" w:hAnsiTheme="minorHAnsi"/>
                <w:color w:val="000000"/>
                <w:lang w:val="en-GB" w:eastAsia="en-GB"/>
              </w:rPr>
            </w:pPr>
            <w:r>
              <w:rPr>
                <w:rFonts w:eastAsia="Times New Roman" w:cs="Times New Roman" w:asciiTheme="minorHAnsi" w:hAnsiTheme="minorHAnsi"/>
                <w:color w:val="000000"/>
                <w:lang w:val="en-GB" w:eastAsia="en-GB"/>
              </w:rPr>
              <w:t>If not already completed, a community engagement plan should be finished in this stage.</w:t>
            </w:r>
          </w:p>
          <w:p w14:paraId="34D9D1D5">
            <w:pPr>
              <w:pStyle w:val="33"/>
              <w:numPr>
                <w:ilvl w:val="0"/>
                <w:numId w:val="5"/>
              </w:numPr>
              <w:spacing w:after="0" w:line="240" w:lineRule="auto"/>
              <w:rPr>
                <w:rFonts w:cs="Calibri" w:asciiTheme="minorHAnsi" w:hAnsiTheme="minorHAnsi"/>
              </w:rPr>
            </w:pPr>
            <w:r>
              <w:rPr>
                <w:rFonts w:eastAsia="Times New Roman" w:cs="Times New Roman" w:asciiTheme="minorHAnsi" w:hAnsiTheme="minorHAnsi"/>
                <w:color w:val="000000"/>
                <w:lang w:val="en-GB" w:eastAsia="en-GB"/>
              </w:rPr>
              <w:t>Land lease discussions can continue (if begun in a previous stage) or begin. Leases should not be finalized and signed until Stage 6.</w:t>
            </w:r>
          </w:p>
          <w:p w14:paraId="5CD7D635">
            <w:pPr>
              <w:pStyle w:val="33"/>
              <w:spacing w:after="0" w:line="240" w:lineRule="auto"/>
              <w:rPr>
                <w:rFonts w:hint="default" w:cs="Calibri" w:asciiTheme="minorHAnsi" w:hAnsiTheme="minorHAnsi"/>
                <w:lang w:val="en-GB"/>
              </w:rPr>
            </w:pPr>
            <w:r>
              <w:rPr>
                <w:rFonts w:hint="default" w:cs="Calibri"/>
                <w:b/>
                <w:bCs/>
                <w:lang w:val="en-GB"/>
              </w:rPr>
              <w:t>Four (4) weeks</w:t>
            </w:r>
          </w:p>
        </w:tc>
        <w:tc>
          <w:tcPr>
            <w:tcW w:w="4035" w:type="dxa"/>
          </w:tcPr>
          <w:p w14:paraId="6D069400">
            <w:pPr>
              <w:spacing w:after="0" w:line="240" w:lineRule="auto"/>
              <w:rPr>
                <w:rFonts w:cs="Calibri" w:asciiTheme="minorHAnsi" w:hAnsiTheme="minorHAnsi"/>
              </w:rPr>
            </w:pPr>
            <w:r>
              <w:rPr>
                <w:rFonts w:cs="Calibri" w:asciiTheme="minorHAnsi" w:hAnsiTheme="minorHAnsi"/>
                <w:b/>
                <w:bCs/>
              </w:rPr>
              <w:t>ONDIPA, Ministry of Agriculture, Community Leaders, Traditional Leaders, Ministry of Justice, CSO, LGA officials, Ministry of LGA, Ministry of Environment</w:t>
            </w:r>
          </w:p>
        </w:tc>
      </w:tr>
      <w:tr w14:paraId="194B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9247" w:type="dxa"/>
          </w:tcPr>
          <w:p w14:paraId="3E83AD54">
            <w:pPr>
              <w:spacing w:after="0" w:line="240" w:lineRule="auto"/>
              <w:rPr>
                <w:rFonts w:eastAsia="Times New Roman" w:cs="Times New Roman" w:asciiTheme="minorHAnsi" w:hAnsiTheme="minorHAnsi"/>
                <w:b/>
                <w:color w:val="000000"/>
                <w:lang w:val="en-GB" w:eastAsia="en-GB"/>
              </w:rPr>
            </w:pPr>
            <w:r>
              <w:rPr>
                <w:rFonts w:eastAsia="Times New Roman" w:cs="Times New Roman" w:asciiTheme="minorHAnsi" w:hAnsiTheme="minorHAnsi"/>
                <w:b/>
                <w:color w:val="000000"/>
                <w:lang w:val="en-GB" w:eastAsia="en-GB"/>
              </w:rPr>
              <w:t>Stage 6: The parties enter into Final Agreements.</w:t>
            </w:r>
          </w:p>
          <w:p w14:paraId="5C9D54F8">
            <w:pPr>
              <w:numPr>
                <w:ilvl w:val="0"/>
                <w:numId w:val="6"/>
              </w:numPr>
              <w:spacing w:after="0" w:line="240" w:lineRule="auto"/>
              <w:ind w:left="360" w:hanging="360"/>
              <w:rPr>
                <w:rFonts w:eastAsia="Times New Roman" w:cs="Times New Roman" w:asciiTheme="minorHAnsi" w:hAnsiTheme="minorHAnsi"/>
                <w:color w:val="000000"/>
                <w:sz w:val="28"/>
                <w:lang w:val="en-GB" w:eastAsia="en-GB"/>
              </w:rPr>
            </w:pPr>
            <w:r>
              <w:rPr>
                <w:rFonts w:eastAsia="Times New Roman" w:cs="Times New Roman" w:asciiTheme="minorHAnsi" w:hAnsiTheme="minorHAnsi"/>
                <w:color w:val="000000"/>
                <w:lang w:val="en-GB" w:eastAsia="en-GB"/>
              </w:rPr>
              <w:t xml:space="preserve">The final agreement is likely to be contained in several individual agreements or could be combined into one document. While the precise requirements will vary, approved investment is likely to include some or all of the following: </w:t>
            </w:r>
          </w:p>
          <w:p w14:paraId="1AD185B0">
            <w:pPr>
              <w:numPr>
                <w:ilvl w:val="1"/>
                <w:numId w:val="7"/>
              </w:numPr>
              <w:spacing w:after="1" w:line="240" w:lineRule="auto"/>
              <w:ind w:left="720" w:hanging="360"/>
              <w:rPr>
                <w:rFonts w:eastAsia="Times New Roman" w:cs="Times New Roman" w:asciiTheme="minorHAnsi" w:hAnsiTheme="minorHAnsi"/>
                <w:color w:val="000000"/>
                <w:sz w:val="28"/>
                <w:lang w:val="en-GB" w:eastAsia="en-GB"/>
              </w:rPr>
            </w:pPr>
            <w:r>
              <w:rPr>
                <w:rFonts w:eastAsia="Times New Roman" w:cs="Times New Roman" w:asciiTheme="minorHAnsi" w:hAnsiTheme="minorHAnsi"/>
                <w:color w:val="000000"/>
                <w:lang w:val="en-GB" w:eastAsia="en-GB"/>
              </w:rPr>
              <w:t>Land lease agreement</w:t>
            </w:r>
          </w:p>
          <w:p w14:paraId="7302715F">
            <w:pPr>
              <w:numPr>
                <w:ilvl w:val="1"/>
                <w:numId w:val="7"/>
              </w:numPr>
              <w:spacing w:after="1" w:line="240" w:lineRule="auto"/>
              <w:ind w:left="720" w:hanging="360"/>
              <w:rPr>
                <w:rFonts w:eastAsia="Times New Roman" w:cs="Times New Roman" w:asciiTheme="minorHAnsi" w:hAnsiTheme="minorHAnsi"/>
                <w:color w:val="000000"/>
                <w:sz w:val="28"/>
                <w:lang w:val="en-GB" w:eastAsia="en-GB"/>
              </w:rPr>
            </w:pPr>
            <w:r>
              <w:rPr>
                <w:rFonts w:eastAsia="Times New Roman" w:cs="Times New Roman" w:asciiTheme="minorHAnsi" w:hAnsiTheme="minorHAnsi"/>
                <w:color w:val="000000"/>
                <w:lang w:val="en-GB" w:eastAsia="en-GB"/>
              </w:rPr>
              <w:t>Outgrower contract(s)</w:t>
            </w:r>
          </w:p>
          <w:p w14:paraId="3FC451CE">
            <w:pPr>
              <w:numPr>
                <w:ilvl w:val="1"/>
                <w:numId w:val="7"/>
              </w:numPr>
              <w:spacing w:after="1" w:line="240" w:lineRule="auto"/>
              <w:ind w:left="720" w:hanging="360"/>
              <w:rPr>
                <w:rFonts w:eastAsia="Times New Roman" w:cs="Times New Roman" w:asciiTheme="minorHAnsi" w:hAnsiTheme="minorHAnsi"/>
                <w:color w:val="000000"/>
                <w:sz w:val="28"/>
                <w:lang w:val="en-GB" w:eastAsia="en-GB"/>
              </w:rPr>
            </w:pPr>
            <w:r>
              <w:rPr>
                <w:rFonts w:eastAsia="Times New Roman" w:cs="Times New Roman" w:asciiTheme="minorHAnsi" w:hAnsiTheme="minorHAnsi"/>
                <w:color w:val="000000"/>
                <w:lang w:val="en-GB" w:eastAsia="en-GB"/>
              </w:rPr>
              <w:t>Community impact and benefit agreement</w:t>
            </w:r>
          </w:p>
          <w:p w14:paraId="69833542">
            <w:pPr>
              <w:numPr>
                <w:ilvl w:val="1"/>
                <w:numId w:val="7"/>
              </w:numPr>
              <w:spacing w:after="1" w:line="240" w:lineRule="auto"/>
              <w:ind w:left="720" w:hanging="360"/>
              <w:rPr>
                <w:rFonts w:eastAsia="Times New Roman" w:cs="Times New Roman" w:asciiTheme="minorHAnsi" w:hAnsiTheme="minorHAnsi"/>
                <w:color w:val="000000"/>
                <w:sz w:val="28"/>
                <w:lang w:val="en-GB" w:eastAsia="en-GB"/>
              </w:rPr>
            </w:pPr>
            <w:r>
              <w:rPr>
                <w:rFonts w:eastAsia="Times New Roman" w:cs="Times New Roman" w:asciiTheme="minorHAnsi" w:hAnsiTheme="minorHAnsi"/>
                <w:color w:val="000000"/>
                <w:lang w:val="en-GB" w:eastAsia="en-GB"/>
              </w:rPr>
              <w:t>Community engagement plan</w:t>
            </w:r>
          </w:p>
          <w:p w14:paraId="50D212BC">
            <w:pPr>
              <w:numPr>
                <w:ilvl w:val="1"/>
                <w:numId w:val="7"/>
              </w:numPr>
              <w:spacing w:after="1" w:line="240" w:lineRule="auto"/>
              <w:ind w:left="720" w:hanging="360"/>
              <w:rPr>
                <w:rFonts w:eastAsia="Times New Roman" w:cs="Times New Roman" w:asciiTheme="minorHAnsi" w:hAnsiTheme="minorHAnsi"/>
                <w:color w:val="000000"/>
                <w:sz w:val="28"/>
                <w:lang w:val="en-GB" w:eastAsia="en-GB"/>
              </w:rPr>
            </w:pPr>
            <w:r>
              <w:rPr>
                <w:rFonts w:eastAsia="Times New Roman" w:cs="Times New Roman" w:asciiTheme="minorHAnsi" w:hAnsiTheme="minorHAnsi"/>
                <w:color w:val="000000"/>
                <w:lang w:val="en-GB" w:eastAsia="en-GB"/>
              </w:rPr>
              <w:t>Monitoring plan</w:t>
            </w:r>
          </w:p>
          <w:p w14:paraId="6F68119D">
            <w:pPr>
              <w:numPr>
                <w:ilvl w:val="1"/>
                <w:numId w:val="7"/>
              </w:numPr>
              <w:spacing w:after="1" w:line="240" w:lineRule="auto"/>
              <w:ind w:left="720" w:hanging="360"/>
              <w:rPr>
                <w:rFonts w:eastAsia="Times New Roman" w:cs="Times New Roman" w:asciiTheme="minorHAnsi" w:hAnsiTheme="minorHAnsi"/>
                <w:color w:val="000000"/>
                <w:sz w:val="28"/>
                <w:lang w:val="en-GB" w:eastAsia="en-GB"/>
              </w:rPr>
            </w:pPr>
            <w:r>
              <w:rPr>
                <w:rFonts w:eastAsia="Times New Roman" w:cs="Times New Roman" w:asciiTheme="minorHAnsi" w:hAnsiTheme="minorHAnsi"/>
                <w:color w:val="000000"/>
                <w:lang w:val="en-GB" w:eastAsia="en-GB"/>
              </w:rPr>
              <w:t xml:space="preserve">Inclusive, accessible and equitable dispute resolution mechanisms </w:t>
            </w:r>
          </w:p>
          <w:p w14:paraId="16E6E3F7">
            <w:pPr>
              <w:spacing w:after="1" w:line="240" w:lineRule="auto"/>
              <w:ind w:left="720"/>
              <w:rPr>
                <w:rFonts w:hint="default" w:eastAsia="Times New Roman" w:cs="Times New Roman" w:asciiTheme="minorHAnsi" w:hAnsiTheme="minorHAnsi"/>
                <w:color w:val="000000"/>
                <w:sz w:val="28"/>
                <w:lang w:val="en-US" w:eastAsia="en-GB"/>
              </w:rPr>
            </w:pPr>
            <w:r>
              <w:rPr>
                <w:rFonts w:hint="default" w:eastAsia="Times New Roman" w:cs="Times New Roman"/>
                <w:b/>
                <w:bCs/>
                <w:color w:val="000000"/>
                <w:sz w:val="28"/>
                <w:lang w:val="en-US" w:eastAsia="en-GB"/>
              </w:rPr>
              <w:t>Two (2) weeks</w:t>
            </w:r>
          </w:p>
        </w:tc>
        <w:tc>
          <w:tcPr>
            <w:tcW w:w="4035" w:type="dxa"/>
          </w:tcPr>
          <w:p w14:paraId="48EF242C">
            <w:pPr>
              <w:spacing w:after="0" w:line="240" w:lineRule="auto"/>
              <w:rPr>
                <w:rFonts w:cs="Calibri" w:asciiTheme="minorHAnsi" w:hAnsiTheme="minorHAnsi"/>
              </w:rPr>
            </w:pPr>
            <w:r>
              <w:rPr>
                <w:rFonts w:cs="Calibri" w:asciiTheme="minorHAnsi" w:hAnsiTheme="minorHAnsi"/>
                <w:b/>
                <w:bCs/>
              </w:rPr>
              <w:t>ONDIPA, Ministry of Agriculture, Community Leaders, Traditional Leaders, Ministry of Justice, CSO, LGA officials, Ministry of LGA, Ministry of Environment, Local Farmers, etc.</w:t>
            </w:r>
          </w:p>
        </w:tc>
      </w:tr>
    </w:tbl>
    <w:p w14:paraId="5B70C1C4">
      <w:pPr>
        <w:spacing w:line="276" w:lineRule="auto"/>
        <w:rPr>
          <w:rFonts w:cs="Arial"/>
        </w:rPr>
      </w:pPr>
    </w:p>
    <w:p w14:paraId="03636DB4">
      <w:pPr>
        <w:spacing w:line="276" w:lineRule="auto"/>
        <w:rPr>
          <w:rFonts w:cs="Arial"/>
          <w:bCs/>
          <w:i/>
          <w:iCs/>
        </w:rPr>
      </w:pPr>
      <w:r>
        <w:rPr>
          <w:rFonts w:cs="Arial"/>
          <w:bCs/>
          <w:i/>
          <w:iCs/>
        </w:rPr>
        <w:t xml:space="preserve">The </w:t>
      </w:r>
      <w:r>
        <w:rPr>
          <w:rFonts w:cs="Arial"/>
          <w:i/>
          <w:iCs/>
        </w:rPr>
        <w:t xml:space="preserve">six </w:t>
      </w:r>
      <w:r>
        <w:rPr>
          <w:rFonts w:cs="Arial"/>
          <w:bCs/>
          <w:i/>
          <w:iCs/>
        </w:rPr>
        <w:t>stages provide an overarching framework that guides all the toolkits of FRILIA. However, the unpacking of these stages varies from one toolkit to another. Hence, each of the FRILIA toolkits has its own approach embedded within the overall investment project cycle.</w:t>
      </w:r>
    </w:p>
    <w:p w14:paraId="475E2FFA">
      <w:pPr>
        <w:spacing w:line="276" w:lineRule="auto"/>
        <w:rPr>
          <w:rFonts w:cs="Arial"/>
        </w:rPr>
      </w:pPr>
    </w:p>
    <w:p w14:paraId="5414CD68"/>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01240"/>
    <w:multiLevelType w:val="multilevel"/>
    <w:tmpl w:val="01401240"/>
    <w:lvl w:ilvl="0" w:tentative="0">
      <w:start w:val="1"/>
      <w:numFmt w:val="upp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DC44653"/>
    <w:multiLevelType w:val="multilevel"/>
    <w:tmpl w:val="0DC44653"/>
    <w:lvl w:ilvl="0" w:tentative="0">
      <w:start w:val="1"/>
      <w:numFmt w:val="upperLetter"/>
      <w:lvlText w:val="%1."/>
      <w:lvlJc w:val="left"/>
      <w:pPr>
        <w:ind w:left="43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decimal"/>
      <w:lvlText w:val="%2."/>
      <w:lvlJc w:val="left"/>
      <w:pPr>
        <w:ind w:left="708"/>
      </w:pPr>
      <w:rPr>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9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61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33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05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7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9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21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
    <w:nsid w:val="4640392D"/>
    <w:multiLevelType w:val="multilevel"/>
    <w:tmpl w:val="4640392D"/>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5DCD4E75"/>
    <w:multiLevelType w:val="multilevel"/>
    <w:tmpl w:val="5DCD4E75"/>
    <w:lvl w:ilvl="0" w:tentative="0">
      <w:start w:val="1"/>
      <w:numFmt w:val="upperLetter"/>
      <w:lvlText w:val="%1."/>
      <w:lvlJc w:val="left"/>
      <w:pPr>
        <w:ind w:left="504" w:hanging="360"/>
      </w:pPr>
    </w:lvl>
    <w:lvl w:ilvl="1" w:tentative="0">
      <w:start w:val="1"/>
      <w:numFmt w:val="lowerLetter"/>
      <w:lvlText w:val="%2."/>
      <w:lvlJc w:val="left"/>
      <w:pPr>
        <w:ind w:left="1224" w:hanging="360"/>
      </w:pPr>
    </w:lvl>
    <w:lvl w:ilvl="2" w:tentative="0">
      <w:start w:val="1"/>
      <w:numFmt w:val="lowerRoman"/>
      <w:lvlText w:val="%3."/>
      <w:lvlJc w:val="right"/>
      <w:pPr>
        <w:ind w:left="1944" w:hanging="180"/>
      </w:pPr>
    </w:lvl>
    <w:lvl w:ilvl="3" w:tentative="0">
      <w:start w:val="1"/>
      <w:numFmt w:val="decimal"/>
      <w:lvlText w:val="%4."/>
      <w:lvlJc w:val="left"/>
      <w:pPr>
        <w:ind w:left="2664" w:hanging="360"/>
      </w:pPr>
    </w:lvl>
    <w:lvl w:ilvl="4" w:tentative="0">
      <w:start w:val="1"/>
      <w:numFmt w:val="lowerLetter"/>
      <w:lvlText w:val="%5."/>
      <w:lvlJc w:val="left"/>
      <w:pPr>
        <w:ind w:left="3384" w:hanging="360"/>
      </w:pPr>
    </w:lvl>
    <w:lvl w:ilvl="5" w:tentative="0">
      <w:start w:val="1"/>
      <w:numFmt w:val="lowerRoman"/>
      <w:lvlText w:val="%6."/>
      <w:lvlJc w:val="right"/>
      <w:pPr>
        <w:ind w:left="4104" w:hanging="180"/>
      </w:pPr>
    </w:lvl>
    <w:lvl w:ilvl="6" w:tentative="0">
      <w:start w:val="1"/>
      <w:numFmt w:val="decimal"/>
      <w:lvlText w:val="%7."/>
      <w:lvlJc w:val="left"/>
      <w:pPr>
        <w:ind w:left="4824" w:hanging="360"/>
      </w:pPr>
    </w:lvl>
    <w:lvl w:ilvl="7" w:tentative="0">
      <w:start w:val="1"/>
      <w:numFmt w:val="lowerLetter"/>
      <w:lvlText w:val="%8."/>
      <w:lvlJc w:val="left"/>
      <w:pPr>
        <w:ind w:left="5544" w:hanging="360"/>
      </w:pPr>
    </w:lvl>
    <w:lvl w:ilvl="8" w:tentative="0">
      <w:start w:val="1"/>
      <w:numFmt w:val="lowerRoman"/>
      <w:lvlText w:val="%9."/>
      <w:lvlJc w:val="right"/>
      <w:pPr>
        <w:ind w:left="6264" w:hanging="180"/>
      </w:pPr>
    </w:lvl>
  </w:abstractNum>
  <w:abstractNum w:abstractNumId="4">
    <w:nsid w:val="727703AA"/>
    <w:multiLevelType w:val="multilevel"/>
    <w:tmpl w:val="727703AA"/>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73FD003E"/>
    <w:multiLevelType w:val="multilevel"/>
    <w:tmpl w:val="73FD003E"/>
    <w:lvl w:ilvl="0" w:tentative="0">
      <w:start w:val="1"/>
      <w:numFmt w:val="upperLetter"/>
      <w:lvlText w:val="%1."/>
      <w:lvlJc w:val="left"/>
      <w:pPr>
        <w:ind w:left="43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Roman"/>
      <w:lvlText w:val="%2."/>
      <w:lvlJc w:val="left"/>
      <w:pPr>
        <w:ind w:left="70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9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61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33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05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7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9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21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6">
    <w:nsid w:val="7B635C4D"/>
    <w:multiLevelType w:val="multilevel"/>
    <w:tmpl w:val="7B635C4D"/>
    <w:lvl w:ilvl="0" w:tentative="0">
      <w:start w:val="1"/>
      <w:numFmt w:val="upp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DA"/>
    <w:rsid w:val="00066D7C"/>
    <w:rsid w:val="00094B98"/>
    <w:rsid w:val="000C5BC2"/>
    <w:rsid w:val="000D673B"/>
    <w:rsid w:val="00113D64"/>
    <w:rsid w:val="00117E03"/>
    <w:rsid w:val="00177687"/>
    <w:rsid w:val="001A5ECD"/>
    <w:rsid w:val="001E639F"/>
    <w:rsid w:val="001F45D1"/>
    <w:rsid w:val="002B568A"/>
    <w:rsid w:val="002C0EDA"/>
    <w:rsid w:val="002F475E"/>
    <w:rsid w:val="003543FB"/>
    <w:rsid w:val="00386BBF"/>
    <w:rsid w:val="003914D3"/>
    <w:rsid w:val="003B2078"/>
    <w:rsid w:val="00427D1B"/>
    <w:rsid w:val="00470A9C"/>
    <w:rsid w:val="00470ADE"/>
    <w:rsid w:val="00480BFD"/>
    <w:rsid w:val="004D0434"/>
    <w:rsid w:val="005256CA"/>
    <w:rsid w:val="005509FC"/>
    <w:rsid w:val="00553DFB"/>
    <w:rsid w:val="005617AD"/>
    <w:rsid w:val="00576B49"/>
    <w:rsid w:val="00585731"/>
    <w:rsid w:val="005A2D09"/>
    <w:rsid w:val="00604602"/>
    <w:rsid w:val="00635313"/>
    <w:rsid w:val="00667C0B"/>
    <w:rsid w:val="00677706"/>
    <w:rsid w:val="00693539"/>
    <w:rsid w:val="007E1EDC"/>
    <w:rsid w:val="008675FF"/>
    <w:rsid w:val="00897DBB"/>
    <w:rsid w:val="008B0DB6"/>
    <w:rsid w:val="008D3472"/>
    <w:rsid w:val="008D6936"/>
    <w:rsid w:val="008E425E"/>
    <w:rsid w:val="009106A0"/>
    <w:rsid w:val="00954A79"/>
    <w:rsid w:val="0097465E"/>
    <w:rsid w:val="00A10A10"/>
    <w:rsid w:val="00A1714D"/>
    <w:rsid w:val="00A30765"/>
    <w:rsid w:val="00A349A0"/>
    <w:rsid w:val="00A434E5"/>
    <w:rsid w:val="00A4582A"/>
    <w:rsid w:val="00A62CC8"/>
    <w:rsid w:val="00AB2D84"/>
    <w:rsid w:val="00AB7476"/>
    <w:rsid w:val="00AE570E"/>
    <w:rsid w:val="00B061A3"/>
    <w:rsid w:val="00BC070B"/>
    <w:rsid w:val="00BC7704"/>
    <w:rsid w:val="00C21478"/>
    <w:rsid w:val="00C262FE"/>
    <w:rsid w:val="00C44E3E"/>
    <w:rsid w:val="00C94CCF"/>
    <w:rsid w:val="00CE7703"/>
    <w:rsid w:val="00D206B3"/>
    <w:rsid w:val="00D36447"/>
    <w:rsid w:val="00D64833"/>
    <w:rsid w:val="00D86008"/>
    <w:rsid w:val="00D9262B"/>
    <w:rsid w:val="00D95AF3"/>
    <w:rsid w:val="00DE0851"/>
    <w:rsid w:val="00DE14A2"/>
    <w:rsid w:val="00DE4354"/>
    <w:rsid w:val="00DF1928"/>
    <w:rsid w:val="00E37BA0"/>
    <w:rsid w:val="00E42090"/>
    <w:rsid w:val="00E919C3"/>
    <w:rsid w:val="00ED3EA0"/>
    <w:rsid w:val="00ED4691"/>
    <w:rsid w:val="00F12C0A"/>
    <w:rsid w:val="00F20071"/>
    <w:rsid w:val="00F37DEF"/>
    <w:rsid w:val="00F528BC"/>
    <w:rsid w:val="11FC07A8"/>
    <w:rsid w:val="395A3C48"/>
    <w:rsid w:val="5EA117D7"/>
    <w:rsid w:val="68A9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4"/>
    <w:semiHidden/>
    <w:unhideWhenUsed/>
    <w:qFormat/>
    <w:uiPriority w:val="99"/>
    <w:pPr>
      <w:spacing w:after="0" w:line="240" w:lineRule="auto"/>
    </w:pPr>
    <w:rPr>
      <w:rFonts w:ascii="Segoe UI" w:hAnsi="Segoe UI" w:cs="Segoe UI"/>
      <w:sz w:val="18"/>
      <w:szCs w:val="18"/>
    </w:rPr>
  </w:style>
  <w:style w:type="character" w:styleId="14">
    <w:name w:val="annotation reference"/>
    <w:basedOn w:val="11"/>
    <w:semiHidden/>
    <w:unhideWhenUsed/>
    <w:qFormat/>
    <w:uiPriority w:val="99"/>
    <w:rPr>
      <w:sz w:val="16"/>
      <w:szCs w:val="16"/>
    </w:rPr>
  </w:style>
  <w:style w:type="paragraph" w:styleId="15">
    <w:name w:val="annotation text"/>
    <w:basedOn w:val="1"/>
    <w:link w:val="38"/>
    <w:unhideWhenUsed/>
    <w:qFormat/>
    <w:uiPriority w:val="99"/>
    <w:pPr>
      <w:spacing w:line="240" w:lineRule="auto"/>
    </w:pPr>
    <w:rPr>
      <w:rFonts w:ascii="Georgia" w:hAnsi="Georgia" w:cs="Calibri"/>
      <w:sz w:val="20"/>
      <w:szCs w:val="20"/>
    </w:rPr>
  </w:style>
  <w:style w:type="paragraph" w:styleId="16">
    <w:name w:val="annotation subject"/>
    <w:basedOn w:val="15"/>
    <w:next w:val="15"/>
    <w:link w:val="39"/>
    <w:semiHidden/>
    <w:unhideWhenUsed/>
    <w:qFormat/>
    <w:uiPriority w:val="99"/>
    <w:rPr>
      <w:rFonts w:asciiTheme="minorHAnsi" w:hAnsiTheme="minorHAnsi" w:cstheme="minorBidi"/>
      <w:b/>
      <w:bCs/>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uiPriority w:val="9"/>
    <w:rPr>
      <w:rFonts w:eastAsiaTheme="majorEastAsia" w:cstheme="majorBidi"/>
      <w:color w:val="104862"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104862" w:themeColor="accent1" w:themeShade="BF"/>
    </w:rPr>
  </w:style>
  <w:style w:type="character" w:customStyle="1" w:styleId="24">
    <w:name w:val="Heading 5 Char"/>
    <w:basedOn w:val="11"/>
    <w:link w:val="6"/>
    <w:semiHidden/>
    <w:uiPriority w:val="9"/>
    <w:rPr>
      <w:rFonts w:eastAsiaTheme="majorEastAsia" w:cstheme="majorBidi"/>
      <w:color w:val="104862"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link w:val="41"/>
    <w:qFormat/>
    <w:uiPriority w:val="34"/>
    <w:pPr>
      <w:ind w:left="720"/>
      <w:contextualSpacing/>
    </w:p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Comment Text Char"/>
    <w:basedOn w:val="11"/>
    <w:link w:val="15"/>
    <w:qFormat/>
    <w:uiPriority w:val="99"/>
    <w:rPr>
      <w:rFonts w:ascii="Georgia" w:hAnsi="Georgia" w:cs="Calibri"/>
      <w:sz w:val="20"/>
      <w:szCs w:val="20"/>
    </w:rPr>
  </w:style>
  <w:style w:type="character" w:customStyle="1" w:styleId="39">
    <w:name w:val="Comment Subject Char"/>
    <w:basedOn w:val="38"/>
    <w:link w:val="16"/>
    <w:semiHidden/>
    <w:qFormat/>
    <w:uiPriority w:val="99"/>
    <w:rPr>
      <w:rFonts w:ascii="Georgia" w:hAnsi="Georgia" w:cs="Calibri"/>
      <w:b/>
      <w:bCs/>
      <w:sz w:val="20"/>
      <w:szCs w:val="20"/>
    </w:rPr>
  </w:style>
  <w:style w:type="paragraph" w:styleId="40">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 w:type="character" w:customStyle="1" w:styleId="41">
    <w:name w:val="List Paragraph Char"/>
    <w:basedOn w:val="11"/>
    <w:link w:val="33"/>
    <w:qFormat/>
    <w:locked/>
    <w:uiPriority w:val="34"/>
  </w:style>
  <w:style w:type="table" w:customStyle="1" w:styleId="42">
    <w:name w:val="Table Grid1"/>
    <w:basedOn w:val="12"/>
    <w:qFormat/>
    <w:uiPriority w:val="39"/>
    <w:pPr>
      <w:spacing w:after="0" w:line="240" w:lineRule="auto"/>
    </w:pPr>
    <w:rPr>
      <w:rFonts w:ascii="Georgia" w:hAnsi="Georgia"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Revision"/>
    <w:hidden/>
    <w:semiHidden/>
    <w:qFormat/>
    <w:uiPriority w:val="99"/>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 w:type="character" w:customStyle="1" w:styleId="44">
    <w:name w:val="Balloon Text Char"/>
    <w:basedOn w:val="11"/>
    <w:link w:val="13"/>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D37323-D752-4C95-B951-41767340132E}">
  <ds:schemaRefs/>
</ds:datastoreItem>
</file>

<file path=docProps/app.xml><?xml version="1.0" encoding="utf-8"?>
<Properties xmlns="http://schemas.openxmlformats.org/officeDocument/2006/extended-properties" xmlns:vt="http://schemas.openxmlformats.org/officeDocument/2006/docPropsVTypes">
  <Template>Normal</Template>
  <Pages>4</Pages>
  <Words>791</Words>
  <Characters>4514</Characters>
  <Lines>37</Lines>
  <Paragraphs>10</Paragraphs>
  <TotalTime>32</TotalTime>
  <ScaleCrop>false</ScaleCrop>
  <LinksUpToDate>false</LinksUpToDate>
  <CharactersWithSpaces>5295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2025-08-28T08:46:00Z</dcterms:created>
  <dc:creator>Oluwole Ogunmusire</dc:creator>
  <cp:lastModifiedBy>Richard Alonge</cp:lastModifiedBy>
  <dcterms:modified xsi:type="dcterms:W3CDTF">2025-12-31T15:05:26Z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FF2B6E0BC96C4EE5A9DA9FA83BE711A6_12</vt:lpwstr>
  </property>
</Properties>
</file>